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CTDI — Due-Diligence FAQ — Executive Protection</w:t>
      </w:r>
    </w:p>
    <w:p>
      <w:pPr>
        <w:pStyle w:val="Heading2"/>
      </w:pPr>
      <w:r>
        <w:t>Due-Diligence FAQ — Hard Questions, Straight Answers</w:t>
      </w:r>
    </w:p>
    <w:p>
      <w:r>
        <w:rPr>
          <w:b w:val="0"/>
          <w:i w:val="0"/>
          <w:sz w:val="22"/>
        </w:rPr>
        <w:t>[operator LLC], LLC · Arlington, VA · August 2026 · Prepared for executive-protection, secure-transportation, and corporate-GSOC diligence</w:t>
      </w:r>
    </w:p>
    <w:p>
      <w:r>
        <w:rPr>
          <w:b w:val="0"/>
          <w:i/>
          <w:sz w:val="22"/>
        </w:rPr>
        <w:t>Answers derive from live verification of the running production system on 2026-08-24 plus source inspection. Where the evidence is silent, the answer is "Unknown — needs founder input" rather than a guess. No radio frequency, sensitive program value, secret, token, or GPS coordinate appears in this document, by rule and by platform design.</w:t>
      </w:r>
    </w:p>
    <w:p>
      <w:pPr>
        <w:pStyle w:val="Heading2"/>
      </w:pPr>
      <w:r>
        <w:t>1. How is a principal's location and travel data actually protected?</w:t>
      </w:r>
    </w:p>
    <w:p>
      <w:r>
        <w:rPr>
          <w:b w:val="0"/>
          <w:i w:val="0"/>
          <w:sz w:val="22"/>
        </w:rPr>
        <w:t xml:space="preserve">Structurally, not by promise. </w:t>
      </w:r>
      <w:r>
        <w:rPr>
          <w:b/>
          <w:i w:val="0"/>
          <w:sz w:val="22"/>
        </w:rPr>
        <w:t>The receiver's real GPS coordinates live only in the owner-only secrets file (`dispatch-secrets.env`, mode 600), never in any tracked file, and are on the public-mirror scrub list.</w:t>
      </w:r>
      <w:r>
        <w:rPr>
          <w:b w:val="0"/>
          <w:i w:val="0"/>
          <w:sz w:val="22"/>
        </w:rPr>
        <w:t xml:space="preserve"> This is a verifiable architectural fact, confirmed in the 2026-08-24 security work: the endpoint that serves receiver coordinates trust-gates them (an untrusted caller gets a fixed DC-area placeholder, not the real location), and the public demo container is structurally incapable of leaking them because it loads only the non-secret config file — it has no secret to leak whether a caller is trusted or not. More broadly, the platform is self-hosted on hardware the client controls; principal itineraries, watchlists, and movement data are held on that hardware, and the private production surface is Tailscale-only and bearer-token-gated with no network-origin trust. Under the intended client-held-subscription model, each client holds its own source credentials and CTDI does not redistribute third-party data.</w:t>
      </w:r>
    </w:p>
    <w:p>
      <w:pPr>
        <w:pStyle w:val="Heading2"/>
      </w:pPr>
      <w:r>
        <w:t>2. What is the actual audit trail?</w:t>
      </w:r>
    </w:p>
    <w:p>
      <w:r>
        <w:rPr>
          <w:b w:val="0"/>
          <w:i w:val="0"/>
          <w:sz w:val="22"/>
        </w:rPr>
        <w:t xml:space="preserve">Real and demonstrable. Every administrative action is audit-logged via a `require_admin(action)` factory across </w:t>
      </w:r>
      <w:r>
        <w:rPr>
          <w:b/>
          <w:i w:val="0"/>
          <w:sz w:val="22"/>
        </w:rPr>
        <w:t>32 endpoints</w:t>
      </w:r>
      <w:r>
        <w:rPr>
          <w:b w:val="0"/>
          <w:i w:val="0"/>
          <w:sz w:val="22"/>
        </w:rPr>
        <w:t xml:space="preserve">, capturing actor, action name, tier, source IP, and — for mutating requests — the request payload, written before the route handler runs, with a 90-day prune. This is not aspirational: the audit log went from </w:t>
      </w:r>
      <w:r>
        <w:rPr>
          <w:b/>
          <w:i w:val="0"/>
          <w:sz w:val="22"/>
        </w:rPr>
        <w:t>12 total rows on 2026-08-19 to thousands of real entries within days</w:t>
      </w:r>
      <w:r>
        <w:rPr>
          <w:b w:val="0"/>
          <w:i w:val="0"/>
          <w:sz w:val="22"/>
        </w:rPr>
        <w:t xml:space="preserve"> (over 3,300 in the 24 hours before the 08-24 check). It was verified live against the running container, not just in the source. There is no SOC 2 or third-party audit, and none is claimed; an ISO 42001 alignment document exists as positioning, not certification.</w:t>
      </w:r>
    </w:p>
    <w:p>
      <w:pPr>
        <w:pStyle w:val="Heading2"/>
      </w:pPr>
      <w:r>
        <w:t>3. What is your security-testing process — and is it a real pentest?</w:t>
      </w:r>
    </w:p>
    <w:p>
      <w:r>
        <w:rPr>
          <w:b w:val="0"/>
          <w:i w:val="0"/>
          <w:sz w:val="22"/>
        </w:rPr>
        <w:t xml:space="preserve">It is a </w:t>
      </w:r>
      <w:r>
        <w:rPr>
          <w:b/>
          <w:i w:val="0"/>
          <w:sz w:val="22"/>
        </w:rPr>
        <w:t>self-directed, founder-run, bounded, non-destructive security program — not a third-party penetration test and not a certification.</w:t>
      </w:r>
      <w:r>
        <w:rPr>
          <w:b w:val="0"/>
          <w:i w:val="0"/>
          <w:sz w:val="22"/>
        </w:rPr>
        <w:t xml:space="preserve"> We say that first, because for an EP buyer the distinction is the whole point. The methodology is deliberately conservative: read-only and source-inspection checks, 1–2 requests per endpoint with no retries, no fuzzing or brute-forcing or high-volume scanning, and no secret/token/key/coordinate value printed anywhere. It runs on a recurring cadence — the two most recent passes were 2026-08-13 and 2026-08-24 — and on 08-24 it ran as four stacked passes: a bounded pentest, a basic re-verification, an </w:t>
      </w:r>
      <w:r>
        <w:rPr>
          <w:b/>
          <w:i w:val="0"/>
          <w:sz w:val="22"/>
        </w:rPr>
        <w:t>adversarial</w:t>
      </w:r>
      <w:r>
        <w:rPr>
          <w:b w:val="0"/>
          <w:i w:val="0"/>
          <w:sz w:val="22"/>
        </w:rPr>
        <w:t xml:space="preserve"> re-verification (default posture: every "resolved" label is wrong until skeptically disproved under pressure), and a live economic re-derivation. A first </w:t>
      </w:r>
      <w:r>
        <w:rPr>
          <w:b/>
          <w:i w:val="0"/>
          <w:sz w:val="22"/>
        </w:rPr>
        <w:t>external</w:t>
      </w:r>
      <w:r>
        <w:rPr>
          <w:b w:val="0"/>
          <w:i w:val="0"/>
          <w:sz w:val="22"/>
        </w:rPr>
        <w:t xml:space="preserve"> penetration test / SOC-2-style review is an un-started, fundable roadmap item.</w:t>
      </w:r>
    </w:p>
    <w:p>
      <w:pPr>
        <w:pStyle w:val="Heading2"/>
      </w:pPr>
      <w:r>
        <w:t>4. Did the security testing find anything? Tell me the worst of it.</w:t>
      </w:r>
    </w:p>
    <w:p>
      <w:r>
        <w:rPr>
          <w:b w:val="0"/>
          <w:i w:val="0"/>
          <w:sz w:val="22"/>
        </w:rPr>
        <w:t xml:space="preserve">Yes — and that is the honest strength, not a weakness. The 08-24 work found two real issues </w:t>
      </w:r>
      <w:r>
        <w:rPr>
          <w:b/>
          <w:i w:val="0"/>
          <w:sz w:val="22"/>
        </w:rPr>
        <w:t>in our own system</w:t>
      </w:r>
      <w:r>
        <w:rPr>
          <w:b w:val="0"/>
          <w:i w:val="0"/>
          <w:sz w:val="22"/>
        </w:rPr>
        <w:t xml:space="preserve">: the recently-repaired public demo container had been mounted onto the real production data directory (putting the full 24 GB production database — VIP watchlist/movement data, audit logs, the second brain — one file-open away, and writable), and an ungated chat endpoint on the public demo shared the production runner's chat file so an anonymous visitor could read or wipe it. </w:t>
      </w:r>
      <w:r>
        <w:rPr>
          <w:b/>
          <w:i w:val="0"/>
          <w:sz w:val="22"/>
        </w:rPr>
        <w:t>Both were fixed the same day</w:t>
      </w:r>
      <w:r>
        <w:rPr>
          <w:b w:val="0"/>
          <w:i w:val="0"/>
          <w:sz w:val="22"/>
        </w:rPr>
        <w:t xml:space="preserve"> — the demo was relocated onto a hardened sibling directory (mode 700) that contains no production file at all — and then an </w:t>
      </w:r>
      <w:r>
        <w:rPr>
          <w:b/>
          <w:i w:val="0"/>
          <w:sz w:val="22"/>
        </w:rPr>
        <w:t>adversarial re-verification confirmed the fix live against the running container</w:t>
      </w:r>
      <w:r>
        <w:rPr>
          <w:b w:val="0"/>
          <w:i w:val="0"/>
          <w:sz w:val="22"/>
        </w:rPr>
        <w:t xml:space="preserve">: the demo can no longer see, read, or write any production file, the chat files are now two distinct files on different inodes, and </w:t>
      </w:r>
      <w:r>
        <w:rPr>
          <w:b/>
          <w:i w:val="0"/>
          <w:sz w:val="22"/>
        </w:rPr>
        <w:t>nothing reopened, no new exploitable exposure was found.</w:t>
      </w:r>
      <w:r>
        <w:rPr>
          <w:b w:val="0"/>
          <w:i w:val="0"/>
          <w:sz w:val="22"/>
        </w:rPr>
        <w:t xml:space="preserve"> The destructive delete capability was identified by code and reachability and </w:t>
      </w:r>
      <w:r>
        <w:rPr>
          <w:b/>
          <w:i w:val="0"/>
          <w:sz w:val="22"/>
        </w:rPr>
        <w:t>never invoked</w:t>
      </w:r>
      <w:r>
        <w:rPr>
          <w:b w:val="0"/>
          <w:i w:val="0"/>
          <w:sz w:val="22"/>
        </w:rPr>
        <w:t xml:space="preserve"> during testing. A review that finds nothing usually means the review was shallow; this one found real things and closed them under adversarial pressure.</w:t>
      </w:r>
    </w:p>
    <w:p>
      <w:pPr>
        <w:pStyle w:val="Heading2"/>
      </w:pPr>
      <w:r>
        <w:t>5. What was tested, specifically?</w:t>
      </w:r>
    </w:p>
    <w:p>
      <w:r>
        <w:rPr>
          <w:b w:val="0"/>
          <w:i w:val="0"/>
          <w:sz w:val="22"/>
        </w:rPr>
        <w:t xml:space="preserve">Authorization boundaries, credential storage, the integrity chain, board-key write gates, GPS/coordinate exposure, and demo-vs-production isolation. Concrete live results: no-token, forged-bearer, malformed-token, and spoofed-public-origin (`X-CTDI-Public: 1`) requests to admin and Tier-1 routes all returned </w:t>
      </w:r>
      <w:r>
        <w:rPr>
          <w:b/>
          <w:i w:val="0"/>
          <w:sz w:val="22"/>
        </w:rPr>
        <w:t>403</w:t>
      </w:r>
      <w:r>
        <w:rPr>
          <w:b w:val="0"/>
          <w:i w:val="0"/>
          <w:sz w:val="22"/>
        </w:rPr>
        <w:t>, including header-case and multi-header variants under the adversarial pass; the token table has no plaintext column (hashes only); the secrets file is mode 600; the signed manifest verifies in an isolated keyring and raises on mismatch; the coordination message board's write path is constant-time key-compared with a scrub gate and rate limit while its reads are anonymous by design; and the previously-anonymous vault research-read surface is now board-key gated (verified 401 without a key, 200 with one).</w:t>
      </w:r>
    </w:p>
    <w:p>
      <w:pPr>
        <w:pStyle w:val="Heading2"/>
      </w:pPr>
      <w:r>
        <w:t>6. What are the authorization tiers, and what gates admin?</w:t>
      </w:r>
    </w:p>
    <w:p>
      <w:r>
        <w:rPr>
          <w:b w:val="0"/>
          <w:i w:val="0"/>
          <w:sz w:val="22"/>
        </w:rPr>
        <w:t xml:space="preserve">Auth is enforced as FastAPI dependencies in `src/auth/auth.py`, </w:t>
      </w:r>
      <w:r>
        <w:rPr>
          <w:b/>
          <w:i w:val="0"/>
          <w:sz w:val="22"/>
        </w:rPr>
        <w:t>bearer-token only — network origin grants no tier</w:t>
      </w:r>
      <w:r>
        <w:rPr>
          <w:b w:val="0"/>
          <w:i w:val="0"/>
          <w:sz w:val="22"/>
        </w:rPr>
        <w:t xml:space="preserve"> (the older spoofable header/IP grant was removed): T0 anonymous (also forced for any request carrying `X-CTDI-Public: 1`), T1 (`tier=cert`), T2/SHARES (`tier=shares`, audit-logged), and Admin (`tier=admin`). Token format is `ctdc_&lt;user&gt;_&lt;random&gt;`; only the SHA-256 hash is stored. One `/admin/*` endpoint is deliberately unauthenticated by design — the passwordless-approval resolve link, secured by a 122-bit unguessable UUID and single-use enforcement, because Cloudflare strips the `Authorization` header through the tunnel and a token-gated endpoint would be untappable from a phone off the tailnet.</w:t>
      </w:r>
    </w:p>
    <w:p>
      <w:pPr>
        <w:pStyle w:val="Heading2"/>
      </w:pPr>
      <w:r>
        <w:t>7. What security items are still open? Name them.</w:t>
      </w:r>
    </w:p>
    <w:p>
      <w:r>
        <w:rPr>
          <w:b w:val="0"/>
          <w:i w:val="0"/>
          <w:sz w:val="22"/>
        </w:rPr>
        <w:t>Four, none of which touches the production operational feeds or the credential store, and none found exploitable from the untrusted internet in the current topology:</w:t>
      </w:r>
    </w:p>
    <w:p>
      <w:pPr>
        <w:pStyle w:val="ListBullet"/>
      </w:pPr>
      <w:r>
        <w:rPr>
          <w:b/>
          <w:i w:val="0"/>
        </w:rPr>
        <w:t>The trust boundary depends on Cloudflare's `CF-Connecting-IP` header, with no app-layer backstop.</w:t>
      </w:r>
      <w:r>
        <w:rPr>
          <w:b w:val="0"/>
          <w:i w:val="0"/>
        </w:rPr>
        <w:t xml:space="preserve"> In today's topology this grants no escalation (the only paths without an authoritative Cloudflare header are loopback and the tailnet, both already trusted), but a future non-Cloudflare ingress could convert it into an origin-spoofing bypass. Documented `NEEDS-HUMAN-REVIEW`; hardening candidates are narrowing the forwarded-IP allow-list and requiring the header's presence for any public-hostname request.</w:t>
      </w:r>
    </w:p>
    <w:p>
      <w:pPr>
        <w:pStyle w:val="ListBullet"/>
      </w:pPr>
      <w:r>
        <w:rPr>
          <w:b/>
          <w:i w:val="0"/>
        </w:rPr>
        <w:t>Credential-lifecycle hygiene</w:t>
      </w:r>
      <w:r>
        <w:rPr>
          <w:b w:val="0"/>
          <w:i w:val="0"/>
        </w:rPr>
        <w:t>: issued tokens do not expire by policy (all currently carry a null expiry), and one retired MCP-bridge integration's admin token is still un-revoked — tracked, not reachable from outside the tailnet, but should be closed.</w:t>
      </w:r>
    </w:p>
    <w:p>
      <w:pPr>
        <w:pStyle w:val="ListBullet"/>
      </w:pPr>
      <w:r>
        <w:rPr>
          <w:b/>
          <w:i w:val="0"/>
        </w:rPr>
        <w:t>A stated personal-vs-business data-separation boundary</w:t>
      </w:r>
      <w:r>
        <w:rPr>
          <w:b w:val="0"/>
          <w:i w:val="0"/>
        </w:rPr>
        <w:t xml:space="preserve"> in the personal-export automation is a founder policy call. The anonymous-read exposure it once composed with is closed; the separation-boundary decision itself is open.</w:t>
      </w:r>
    </w:p>
    <w:p>
      <w:pPr>
        <w:pStyle w:val="ListBullet"/>
      </w:pPr>
      <w:r>
        <w:rPr>
          <w:b/>
          <w:i w:val="0"/>
        </w:rPr>
        <w:t>The public demo's password-gating decision.</w:t>
      </w:r>
      <w:r>
        <w:rPr>
          <w:b w:val="0"/>
          <w:i w:val="0"/>
        </w:rPr>
        <w:t xml:space="preserve"> The demo was repaired and its isolation adversarially verified on 08-24; the gating decision is the remaining operator call before it is promoted as an investor demo link.</w:t>
      </w:r>
    </w:p>
    <w:p>
      <w:pPr>
        <w:pStyle w:val="Heading2"/>
      </w:pPr>
      <w:r>
        <w:t>8. What happens to data on the public demo surface? Is it isolated?</w:t>
      </w:r>
    </w:p>
    <w:p>
      <w:r>
        <w:rPr>
          <w:b w:val="0"/>
          <w:i w:val="0"/>
          <w:sz w:val="22"/>
        </w:rPr>
        <w:t xml:space="preserve">Yes — and this was the sharpest question the 08-24 testing answered. The demo is designed to serve a separate recorded-replay database over its own API, never production. During the crash-loop repair a mount briefly weakened that boundary (see FAQ 4); the fix relocated the demo onto a hardened sibling directory that contains </w:t>
      </w:r>
      <w:r>
        <w:rPr>
          <w:b/>
          <w:i w:val="0"/>
          <w:sz w:val="22"/>
        </w:rPr>
        <w:t>no production file at all</w:t>
      </w:r>
      <w:r>
        <w:rPr>
          <w:b w:val="0"/>
          <w:i w:val="0"/>
          <w:sz w:val="22"/>
        </w:rPr>
        <w:t xml:space="preserve">. Verified live from inside the running demo container: the real production database and second-brain index are </w:t>
      </w:r>
      <w:r>
        <w:rPr>
          <w:b/>
          <w:i w:val="0"/>
          <w:sz w:val="22"/>
        </w:rPr>
        <w:t>absent</w:t>
      </w:r>
      <w:r>
        <w:rPr>
          <w:b w:val="0"/>
          <w:i w:val="0"/>
          <w:sz w:val="22"/>
        </w:rPr>
        <w:t xml:space="preserve"> — not merely unopened, but not mounted — so the worst case for any future arbitrary-file-read or path-traversal bug in the demo is "the empty demo directory," not "all of production." The demo's own chat file is a different file on a different inode from production's. This is now the strongest isolation layer in the system, verified against the actually-running container, not just the tracked config.</w:t>
      </w:r>
    </w:p>
    <w:p>
      <w:pPr>
        <w:pStyle w:val="Heading2"/>
      </w:pPr>
      <w:r>
        <w:t>9. Is the go/no-go scoring AI? Is it certified?</w:t>
      </w:r>
    </w:p>
    <w:p>
      <w:r>
        <w:rPr>
          <w:b w:val="0"/>
          <w:i w:val="0"/>
          <w:sz w:val="22"/>
        </w:rPr>
        <w:t xml:space="preserve">Neither. The Critical Predictability State (CPS) engine is a deterministic, 288-line rule engine: hardcoded thresholds drawn from 14 CFR 135.609 VFR minimums as a published, conservative reference, with marginal bands, precipitation classification, ground-stop/GDP handling, and worst-factor-wins aggregation — no weights, no ML, no black box. Every GREEN, MARGINAL, or violated state is explainable to a client, insurer, or counsel. CTDI is decision-support only — not an FAA-certified dispatch system, not a Part 135 operation, no regulatory claim. Known verification gap, restated: the engine still has </w:t>
      </w:r>
      <w:r>
        <w:rPr>
          <w:b/>
          <w:i w:val="0"/>
          <w:sz w:val="22"/>
        </w:rPr>
        <w:t>no dedicated unit test</w:t>
      </w:r>
      <w:r>
        <w:rPr>
          <w:b w:val="0"/>
          <w:i w:val="0"/>
          <w:sz w:val="22"/>
        </w:rPr>
        <w:t xml:space="preserve">, and there is </w:t>
      </w:r>
      <w:r>
        <w:rPr>
          <w:b/>
          <w:i w:val="0"/>
          <w:sz w:val="22"/>
        </w:rPr>
        <w:t>no CI</w:t>
      </w:r>
      <w:r>
        <w:rPr>
          <w:b w:val="0"/>
          <w:i w:val="0"/>
          <w:sz w:val="22"/>
        </w:rPr>
        <w:t>.</w:t>
      </w:r>
    </w:p>
    <w:p>
      <w:pPr>
        <w:pStyle w:val="Heading2"/>
      </w:pPr>
      <w:r>
        <w:t>10. Where does the flight, rail, and weather data come from — and what are the terms-of-service exposures?</w:t>
      </w:r>
    </w:p>
    <w:p>
      <w:r>
        <w:rPr>
          <w:b w:val="0"/>
          <w:i w:val="0"/>
          <w:sz w:val="22"/>
        </w:rPr>
        <w:t>Mostly clean, with a few items worth diligence. Clean and public-domain: FAA SWIM (all six feeds, under an approved subscription), FAA TFR/NOTAM, and NWS/NWWS-OI/aviationweather. Community/unofficial and worth review: Amtrak (community API — no federal SWIM rail equivalent exists), DCA/IAD airport-board scrapes (undocumented JSON, no SLA, disclosed), and ADS-B aggregator accounts (reciprocal barter, earned by feeding our own RF data back). FAA SWIM is primary; the scraped/community sources are fallback tiers. The intended deployment model largely moots redistribution: each client holds its own source credentials and CTDI supplies software, not redistributed data. Formalizing these relationships in client agreements still needs founder input.</w:t>
      </w:r>
    </w:p>
    <w:p>
      <w:pPr>
        <w:pStyle w:val="Heading2"/>
      </w:pPr>
      <w:r>
        <w:t>11. What intelligence-gathering does it do for advance work, beyond live tracking?</w:t>
      </w:r>
    </w:p>
    <w:p>
      <w:r>
        <w:rPr>
          <w:b w:val="0"/>
          <w:i w:val="0"/>
          <w:sz w:val="22"/>
        </w:rPr>
        <w:t xml:space="preserve">A cross-category entity-tracking layer runs inside six daily-watch intelligence categories (AAM, aviation, concierge-travel, executive-protection, gig-economy, trains-yachts) plus an OSINT monitor. It detects the same entity recurring across independent sources and applies threshold-based auto-promotion gated by </w:t>
      </w:r>
      <w:r>
        <w:rPr>
          <w:b/>
          <w:i w:val="0"/>
          <w:sz w:val="22"/>
        </w:rPr>
        <w:t>independent-feed corroboration, a human review step, and silence/embargo detection</w:t>
      </w:r>
      <w:r>
        <w:rPr>
          <w:b w:val="0"/>
          <w:i w:val="0"/>
          <w:sz w:val="22"/>
        </w:rPr>
        <w:t xml:space="preserve"> — a discipline that, per the platform's own vendor analysis, zero of ten enterprise competitive-intelligence products document. Findings are consolidated into a digest every six hours. Underneath sits a self-hosted knowledge vault (6,742 documents) with a compiled semantic layer (99 concepts, 51,317 edges) and a causal derivation graph supporting multi-hop trace queries, recompiled daily. For advance work, the value is that pattern knowledge accumulates on client-controlled hardware across engagements instead of evaporating.</w:t>
      </w:r>
    </w:p>
    <w:p>
      <w:pPr>
        <w:pStyle w:val="Heading2"/>
      </w:pPr>
      <w:r>
        <w:t>12. Do any LLM components send data off-device?</w:t>
      </w:r>
    </w:p>
    <w:p>
      <w:r>
        <w:rPr>
          <w:b w:val="0"/>
          <w:i w:val="0"/>
          <w:sz w:val="22"/>
        </w:rPr>
        <w:t xml:space="preserve">No — and this is measured, not asserted. Brief generation (`ops-brief`, `ep-advance`, and others) targets a local Ollama instance on the Pi with 21 dedicated on-device models. The cloud-fallback flag is set to false, and every container that runs a skill loads that setting; the usage log shows </w:t>
      </w:r>
      <w:r>
        <w:rPr>
          <w:b/>
          <w:i w:val="0"/>
          <w:sz w:val="22"/>
        </w:rPr>
        <w:t>zero cloud-model rows across 25,147 logged calls over 46 days</w:t>
      </w:r>
      <w:r>
        <w:rPr>
          <w:b w:val="0"/>
          <w:i w:val="0"/>
          <w:sz w:val="22"/>
        </w:rPr>
        <w:t xml:space="preserve"> ($0 cloud-LLM spend, measured). Honest caveat: about 42% of last week's skill LLM calls fell back to deterministic templates under Ollama contention — labeled, monitored, and alerted, so briefs degrade honestly rather than silently, but the inference layer is capacity with disclosed degradation, not 100% duty.</w:t>
      </w:r>
    </w:p>
    <w:p>
      <w:pPr>
        <w:pStyle w:val="Heading2"/>
      </w:pPr>
      <w:r>
        <w:t>13. Is it always available? What are the reliability implications of single-Pi hosting?</w:t>
      </w:r>
    </w:p>
    <w:p>
      <w:r>
        <w:rPr>
          <w:b w:val="0"/>
          <w:i w:val="0"/>
          <w:sz w:val="22"/>
        </w:rPr>
        <w:t xml:space="preserve">Honestly: </w:t>
      </w:r>
      <w:r>
        <w:rPr>
          <w:b/>
          <w:i w:val="0"/>
          <w:sz w:val="22"/>
        </w:rPr>
        <w:t>it is not always-on, and we do not claim it is.</w:t>
      </w:r>
      <w:r>
        <w:rPr>
          <w:b w:val="0"/>
          <w:i w:val="0"/>
          <w:sz w:val="22"/>
        </w:rPr>
        <w:t xml:space="preserve"> The single Raspberry Pi 5 deliberately sheds its ingest tier under CPU/Ollama contention — a designed load-shed, not a fault — with 10 shed/restore cycles of ~9–11 minutes each in the ~32 hours before the 08-24 check. The restore path is verified working end-to-end every time, and a hardened watchdog (restart-only-what-failed, a ~7.5-minute debounce, and load-shed-aware suppression) no longer fights the load governor. But this is duty-cycled availability without an SLA, on single-node residential-class hosting with no evidenced backup/DR. Two framing points: client deployments run on client-controlled premises, and the load-shed calibration plus DR are acknowledged, funded roadmap items — not solved problems. An EP buyer who needs SLA-grade continuity should read this as a real, current limit.</w:t>
      </w:r>
    </w:p>
    <w:p>
      <w:pPr>
        <w:pStyle w:val="Heading2"/>
      </w:pPr>
      <w:r>
        <w:t>14. What is the single-developer risk?</w:t>
      </w:r>
    </w:p>
    <w:p>
      <w:r>
        <w:rPr>
          <w:b w:val="0"/>
          <w:i w:val="0"/>
          <w:sz w:val="22"/>
        </w:rPr>
        <w:t>Real and disclosed: bus factor is 1. The codebase is ~51,070 lines of Python plus a React front end (27 components), written across ~2.5 months (635 single-author commits, June–August 2026). Mitigants: a GPG-signed whole-tree manifest with an execution gate, a 218-test suite (217 pass, 1 known pre-existing unrelated failure), automated scrub-and-mirror to a public repository, and a self-describing, heavily-documented codebase. Succession or key-person insurance: Unknown — needs founder input. Retiring bus-factor-1 via a first engineering hire is an explicit roadmap item.</w:t>
      </w:r>
    </w:p>
    <w:p>
      <w:pPr>
        <w:pStyle w:val="Heading2"/>
      </w:pPr>
      <w:r>
        <w:t>15. What certifications, insurance, and compliance exist?</w:t>
      </w:r>
    </w:p>
    <w:p>
      <w:r>
        <w:rPr>
          <w:b w:val="0"/>
          <w:i w:val="0"/>
          <w:sz w:val="22"/>
        </w:rPr>
        <w:t>None are claimed. No SOC 2, no ISO certification (the ISO 42001 document is alignment/positioning, not a certificate), no FAA certification (none required for decision-support). FAA LADD handling exists for aircraft-privacy compliance — and notably, the platform's own-RF reception is not LADD-bound, so it retains visibility that every commercial feed obfuscates. Business insurance, DPA/GDPR posture, and data-processing agreements: Unknown — needs founder input.</w:t>
      </w:r>
    </w:p>
    <w:p>
      <w:pPr>
        <w:pStyle w:val="Heading2"/>
      </w:pPr>
      <w:r>
        <w:t>16. What's the licensing and IP posture?</w:t>
      </w:r>
    </w:p>
    <w:p>
      <w:r>
        <w:rPr>
          <w:b w:val="0"/>
          <w:i w:val="0"/>
          <w:sz w:val="22"/>
        </w:rPr>
        <w:t xml:space="preserve">Now real, and disclosed as a draft. The platform carries a </w:t>
      </w:r>
      <w:r>
        <w:rPr>
          <w:b/>
          <w:i w:val="0"/>
          <w:sz w:val="22"/>
        </w:rPr>
        <w:t>Business Source License 1.1</w:t>
      </w:r>
      <w:r>
        <w:rPr>
          <w:b w:val="0"/>
          <w:i w:val="0"/>
          <w:sz w:val="22"/>
        </w:rPr>
        <w:t xml:space="preserve"> (adopted 2026-08-24; Licensor: [operator LLC], LLC): free for all non-production use; free in production for personal self-hosting and internal relay/middleware use within an organization of any size, unless that use serves a fee-based third-party client service — in which case, along with any hosted resale, white-labeling, or platform absorption, a commercial license is required. Each version converts to GPL v3-or-later four years after first publication (Change Date 2030-08-24), so the platform opens over time rather than staying locked indefinitely. </w:t>
      </w:r>
      <w:r>
        <w:rPr>
          <w:b/>
          <w:i w:val="0"/>
          <w:sz w:val="22"/>
        </w:rPr>
        <w:t>Disclosed: the Additional Use Grant language is a working draft under legal review and not yet counsel-confirmed</w:t>
      </w:r>
      <w:r>
        <w:rPr>
          <w:b w:val="0"/>
          <w:i w:val="0"/>
          <w:sz w:val="22"/>
        </w:rPr>
        <w:t xml:space="preserve"> — do not treat it as final for a production licensing decision. Formal IP assignment to the LLC: Unknown — needs founder input.</w:t>
      </w:r>
    </w:p>
    <w:p>
      <w:pPr>
        <w:pStyle w:val="Heading2"/>
      </w:pPr>
      <w:r>
        <w:t>17. Can it serve multiple clients today? (Multi-tenancy / white-label)</w:t>
      </w:r>
    </w:p>
    <w:p>
      <w:r>
        <w:rPr>
          <w:b w:val="0"/>
          <w:i w:val="0"/>
          <w:sz w:val="22"/>
        </w:rPr>
        <w:t>Not as a configuration toggle. Today it is a single shared database with operator-scoped naming and feed-visibility scoping — no tenant isolation, no per-tenant branding. White-label today means redeploy-per-operator on hardware the client controls, which happens to align with how EP buyers want their movement data held anyway. True multi-tenancy, billing, and entitlements are roadmap.</w:t>
      </w:r>
    </w:p>
    <w:p>
      <w:pPr>
        <w:pStyle w:val="Heading2"/>
      </w:pPr>
      <w:r>
        <w:t>18. Where is the billing, CRM, and customer machinery?</w:t>
      </w:r>
    </w:p>
    <w:p>
      <w:r>
        <w:rPr>
          <w:b w:val="0"/>
          <w:i w:val="0"/>
          <w:sz w:val="22"/>
        </w:rPr>
        <w:t xml:space="preserve">There is none — no billing, pricing, subscription, entitlement, or customer-account code exists anywhere. The company is pre-revenue on this product and the website deliberately does not market it. The operational runsheet's newest entry still shows effectively </w:t>
      </w:r>
      <w:r>
        <w:rPr>
          <w:b/>
          <w:i w:val="0"/>
          <w:sz w:val="22"/>
        </w:rPr>
        <w:t>one recorded trip</w:t>
      </w:r>
      <w:r>
        <w:rPr>
          <w:b w:val="0"/>
          <w:i w:val="0"/>
          <w:sz w:val="22"/>
        </w:rPr>
        <w:t xml:space="preserve"> — output is capacity, not consumed demand. Node economics are favorable (≈ $765 one-time hardware, ≈ $23–$39/yr electricity, $0 feed fees, $0 cloud spend), but that is a bill of materials and a cost story, not a business model.</w:t>
      </w:r>
    </w:p>
    <w:p>
      <w:pPr>
        <w:pStyle w:val="Heading2"/>
      </w:pPr>
      <w:r>
        <w:t>19. What does the money story actually say — is CTDI cheap, or valuable?</w:t>
      </w:r>
    </w:p>
    <w:p>
      <w:r>
        <w:rPr>
          <w:b w:val="0"/>
          <w:i w:val="0"/>
          <w:sz w:val="22"/>
        </w:rPr>
        <w:t xml:space="preserve">Both, told separately and never conflated. </w:t>
      </w:r>
      <w:r>
        <w:rPr>
          <w:b/>
          <w:i w:val="0"/>
          <w:sz w:val="22"/>
        </w:rPr>
        <w:t>Cheap to run:</w:t>
      </w:r>
      <w:r>
        <w:rPr>
          <w:b w:val="0"/>
          <w:i w:val="0"/>
          <w:sz w:val="22"/>
        </w:rPr>
        <w:t xml:space="preserve"> ≈ $765 one-time + ≈ $23–$39/yr, with $0 in data-feed fees and $0 in measured cloud-LLM spend. </w:t>
      </w:r>
      <w:r>
        <w:rPr>
          <w:b/>
          <w:i w:val="0"/>
          <w:sz w:val="22"/>
        </w:rPr>
        <w:t>Valuable to replace:</w:t>
      </w:r>
      <w:r>
        <w:rPr>
          <w:b w:val="0"/>
          <w:i w:val="0"/>
          <w:sz w:val="22"/>
        </w:rPr>
        <w:t xml:space="preserve"> the purchasable subset of its live capability lists at roughly </w:t>
      </w:r>
      <w:r>
        <w:rPr>
          <w:b/>
          <w:i w:val="0"/>
          <w:sz w:val="22"/>
        </w:rPr>
        <w:t>$55k–$113k/yr</w:t>
      </w:r>
      <w:r>
        <w:rPr>
          <w:b w:val="0"/>
          <w:i w:val="0"/>
          <w:sz w:val="22"/>
        </w:rPr>
        <w:t xml:space="preserve"> in commercial subscriptions — but that is a replacement-cost floor for a buyer </w:t>
      </w:r>
      <w:r>
        <w:rPr>
          <w:b w:val="0"/>
          <w:i/>
          <w:sz w:val="22"/>
        </w:rPr>
        <w:t>without</w:t>
      </w:r>
      <w:r>
        <w:rPr>
          <w:b w:val="0"/>
          <w:i w:val="0"/>
          <w:sz w:val="22"/>
        </w:rPr>
        <w:t xml:space="preserve"> FAA vetting, explicitly </w:t>
      </w:r>
      <w:r>
        <w:rPr>
          <w:b/>
          <w:i w:val="0"/>
          <w:sz w:val="22"/>
        </w:rPr>
        <w:t>not</w:t>
      </w:r>
      <w:r>
        <w:rPr>
          <w:b w:val="0"/>
          <w:i w:val="0"/>
          <w:sz w:val="22"/>
        </w:rPr>
        <w:t xml:space="preserve"> presented as avoided spend. The platform's genuine avoided cost is ≈ $2.2k–$2.7k/yr, mostly reciprocal ADS-B barter. And ten live capabilities — TFMS flow programs, TBFM arrival metering, ITWS terminal wind-shear alerts, unfiltered blocked-aircraft visibility, receive-side ACARS/VDL, a permanently-owned corpus, and the signed execution gate among them — </w:t>
      </w:r>
      <w:r>
        <w:rPr>
          <w:b/>
          <w:i w:val="0"/>
          <w:sz w:val="22"/>
        </w:rPr>
        <w:t>cannot be bought at any price.</w:t>
      </w:r>
      <w:r>
        <w:rPr>
          <w:b w:val="0"/>
          <w:i w:val="0"/>
          <w:sz w:val="22"/>
        </w:rPr>
        <w:t xml:space="preserve"> Cost avoidance does not carry a valuation, and none is claimed.</w:t>
      </w:r>
    </w:p>
    <w:p>
      <w:pPr>
        <w:pStyle w:val="Heading2"/>
      </w:pPr>
      <w:r>
        <w:t>20. What would investment actually fund?</w:t>
      </w:r>
    </w:p>
    <w:p>
      <w:r>
        <w:rPr>
          <w:b w:val="0"/>
          <w:i w:val="0"/>
          <w:sz w:val="22"/>
        </w:rPr>
        <w:t xml:space="preserve">The verified gap list, in priority order visible from the codebase and the security work itself: multi-tenancy and white-label configuration; disaster recovery and backup; CI and verification hardening (including a CPS unit test); a </w:t>
      </w:r>
      <w:r>
        <w:rPr>
          <w:b/>
          <w:i w:val="0"/>
          <w:sz w:val="22"/>
        </w:rPr>
        <w:t>first third-party security assessment</w:t>
      </w:r>
      <w:r>
        <w:rPr>
          <w:b w:val="0"/>
          <w:i w:val="0"/>
          <w:sz w:val="22"/>
        </w:rPr>
        <w:t>; closure of the disclosed trust-boundary dependency and credential-lifecycle hygiene; formalized data-source agreements and finalized BSL terms with counsel; and the entirely-absent commercial machinery (billing, entitlements, customer management). A specific raise amount and valuation: Unknown — needs founder input; no figures are invented in these materials.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