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0C676" w14:textId="77777777" w:rsidR="00BE58F4" w:rsidRPr="005011B1" w:rsidRDefault="00A50640" w:rsidP="00795821">
      <w:pPr>
        <w:spacing w:line="480" w:lineRule="auto"/>
        <w:rPr>
          <w:b/>
          <w:color w:val="000000"/>
          <w:sz w:val="28"/>
          <w:szCs w:val="28"/>
          <w:lang w:val="en-US"/>
        </w:rPr>
      </w:pPr>
      <w:r w:rsidRPr="005011B1">
        <w:rPr>
          <w:b/>
          <w:color w:val="000000"/>
          <w:sz w:val="28"/>
          <w:szCs w:val="28"/>
          <w:lang w:val="en-US"/>
        </w:rPr>
        <w:t>Favorable</w:t>
      </w:r>
      <w:r w:rsidR="00A30C8C" w:rsidRPr="005011B1">
        <w:rPr>
          <w:b/>
          <w:color w:val="000000"/>
          <w:sz w:val="28"/>
          <w:szCs w:val="28"/>
          <w:lang w:val="en-US"/>
        </w:rPr>
        <w:t xml:space="preserve"> trend of </w:t>
      </w:r>
      <w:r w:rsidR="00C52E36" w:rsidRPr="005011B1">
        <w:rPr>
          <w:b/>
          <w:color w:val="000000"/>
          <w:sz w:val="28"/>
          <w:szCs w:val="28"/>
          <w:lang w:val="en-US"/>
        </w:rPr>
        <w:t xml:space="preserve">Implantable Cardioverter-Defibrillators </w:t>
      </w:r>
      <w:r w:rsidR="00057555" w:rsidRPr="005011B1">
        <w:rPr>
          <w:b/>
          <w:color w:val="000000"/>
          <w:sz w:val="28"/>
          <w:szCs w:val="28"/>
          <w:lang w:val="en-US"/>
        </w:rPr>
        <w:t>service-life</w:t>
      </w:r>
      <w:r w:rsidR="00D323B4" w:rsidRPr="005011B1">
        <w:rPr>
          <w:b/>
          <w:color w:val="000000"/>
          <w:sz w:val="28"/>
          <w:szCs w:val="28"/>
          <w:lang w:val="en-US"/>
        </w:rPr>
        <w:t xml:space="preserve"> </w:t>
      </w:r>
      <w:r w:rsidR="00C52E36" w:rsidRPr="005011B1">
        <w:rPr>
          <w:b/>
          <w:color w:val="000000"/>
          <w:sz w:val="28"/>
          <w:szCs w:val="28"/>
          <w:lang w:val="en-US"/>
        </w:rPr>
        <w:t xml:space="preserve">in a large </w:t>
      </w:r>
      <w:r w:rsidR="009B12FB" w:rsidRPr="005011B1">
        <w:rPr>
          <w:b/>
          <w:color w:val="000000"/>
          <w:sz w:val="28"/>
          <w:szCs w:val="28"/>
          <w:lang w:val="en-US"/>
        </w:rPr>
        <w:t>single-natio</w:t>
      </w:r>
      <w:r w:rsidR="001A349E" w:rsidRPr="005011B1">
        <w:rPr>
          <w:b/>
          <w:color w:val="000000"/>
          <w:sz w:val="28"/>
          <w:szCs w:val="28"/>
          <w:lang w:val="en-US"/>
        </w:rPr>
        <w:t xml:space="preserve">n </w:t>
      </w:r>
      <w:r w:rsidR="00C52E36" w:rsidRPr="005011B1">
        <w:rPr>
          <w:b/>
          <w:color w:val="000000"/>
          <w:sz w:val="28"/>
          <w:szCs w:val="28"/>
          <w:lang w:val="en-US"/>
        </w:rPr>
        <w:t xml:space="preserve">population. </w:t>
      </w:r>
      <w:r w:rsidR="005C577E" w:rsidRPr="005011B1">
        <w:rPr>
          <w:b/>
          <w:color w:val="000000"/>
          <w:sz w:val="28"/>
          <w:szCs w:val="28"/>
          <w:lang w:val="en-US"/>
        </w:rPr>
        <w:t xml:space="preserve">Insights from </w:t>
      </w:r>
      <w:r w:rsidR="003E344A" w:rsidRPr="005011B1">
        <w:rPr>
          <w:b/>
          <w:color w:val="000000"/>
          <w:sz w:val="28"/>
          <w:szCs w:val="28"/>
          <w:lang w:val="en-US"/>
        </w:rPr>
        <w:t>ten-year</w:t>
      </w:r>
      <w:r w:rsidR="00C52E36" w:rsidRPr="005011B1">
        <w:rPr>
          <w:b/>
          <w:color w:val="000000"/>
          <w:sz w:val="28"/>
          <w:szCs w:val="28"/>
          <w:lang w:val="en-US"/>
        </w:rPr>
        <w:t xml:space="preserve"> analysis of the Italian ICD Registry</w:t>
      </w:r>
    </w:p>
    <w:p w14:paraId="0B4A876B" w14:textId="77777777" w:rsidR="00BE6AD4" w:rsidRPr="005011B1" w:rsidRDefault="00BE6AD4" w:rsidP="00795821">
      <w:pPr>
        <w:spacing w:line="480" w:lineRule="auto"/>
        <w:rPr>
          <w:color w:val="000000"/>
          <w:lang w:val="en-US"/>
        </w:rPr>
      </w:pPr>
      <w:r w:rsidRPr="005011B1">
        <w:rPr>
          <w:color w:val="000000"/>
          <w:lang w:val="en-US"/>
        </w:rPr>
        <w:t xml:space="preserve">First Author’s surname: Poli </w:t>
      </w:r>
    </w:p>
    <w:p w14:paraId="4539D2BC" w14:textId="77777777" w:rsidR="00BE6AD4" w:rsidRPr="005011B1" w:rsidRDefault="00BE6AD4" w:rsidP="00795821">
      <w:pPr>
        <w:spacing w:line="480" w:lineRule="auto"/>
        <w:rPr>
          <w:color w:val="000000"/>
          <w:lang w:val="en-US"/>
        </w:rPr>
      </w:pPr>
      <w:r w:rsidRPr="005011B1">
        <w:rPr>
          <w:color w:val="000000"/>
          <w:lang w:val="en-US"/>
        </w:rPr>
        <w:t xml:space="preserve">Running Title: </w:t>
      </w:r>
      <w:r w:rsidR="002D52FE" w:rsidRPr="005011B1">
        <w:rPr>
          <w:color w:val="000000"/>
          <w:lang w:val="en-US"/>
        </w:rPr>
        <w:t xml:space="preserve">ICD </w:t>
      </w:r>
      <w:r w:rsidR="00057555" w:rsidRPr="005011B1">
        <w:rPr>
          <w:color w:val="000000"/>
          <w:lang w:val="en-US"/>
        </w:rPr>
        <w:t>service-life</w:t>
      </w:r>
      <w:r w:rsidR="002D52FE" w:rsidRPr="005011B1">
        <w:rPr>
          <w:color w:val="000000"/>
          <w:lang w:val="en-US"/>
        </w:rPr>
        <w:t xml:space="preserve"> trends over ten years in Italy</w:t>
      </w:r>
    </w:p>
    <w:p w14:paraId="56565F58" w14:textId="77777777" w:rsidR="002D52FE" w:rsidRPr="005011B1" w:rsidRDefault="002D52FE" w:rsidP="00795821">
      <w:pPr>
        <w:spacing w:line="480" w:lineRule="auto"/>
        <w:rPr>
          <w:color w:val="000000"/>
          <w:lang w:val="en-US"/>
        </w:rPr>
      </w:pPr>
    </w:p>
    <w:p w14:paraId="4A94A622" w14:textId="77777777" w:rsidR="001D570E" w:rsidRPr="005011B1" w:rsidRDefault="00AD12A3" w:rsidP="00795821">
      <w:pPr>
        <w:spacing w:line="480" w:lineRule="auto"/>
        <w:rPr>
          <w:color w:val="000000"/>
          <w:vertAlign w:val="superscript"/>
        </w:rPr>
      </w:pPr>
      <w:r w:rsidRPr="005011B1">
        <w:rPr>
          <w:color w:val="000000"/>
        </w:rPr>
        <w:t>Stefano Poli</w:t>
      </w:r>
      <w:r w:rsidR="00AA4A2F" w:rsidRPr="005011B1">
        <w:rPr>
          <w:color w:val="000000"/>
        </w:rPr>
        <w:t xml:space="preserve"> MD</w:t>
      </w:r>
      <w:r w:rsidR="001D570E" w:rsidRPr="005011B1">
        <w:rPr>
          <w:color w:val="000000"/>
          <w:vertAlign w:val="superscript"/>
        </w:rPr>
        <w:t>1</w:t>
      </w:r>
      <w:r w:rsidRPr="005011B1">
        <w:rPr>
          <w:color w:val="000000"/>
        </w:rPr>
        <w:t>,</w:t>
      </w:r>
      <w:r w:rsidR="00780D71" w:rsidRPr="005011B1">
        <w:rPr>
          <w:color w:val="000000"/>
        </w:rPr>
        <w:t xml:space="preserve"> Giuseppe Boriani</w:t>
      </w:r>
      <w:r w:rsidR="00AA4A2F" w:rsidRPr="005011B1">
        <w:rPr>
          <w:color w:val="000000"/>
        </w:rPr>
        <w:t xml:space="preserve"> MD</w:t>
      </w:r>
      <w:r w:rsidR="001D570E" w:rsidRPr="005011B1">
        <w:rPr>
          <w:color w:val="000000"/>
          <w:vertAlign w:val="superscript"/>
        </w:rPr>
        <w:t>2</w:t>
      </w:r>
      <w:r w:rsidR="00780D71" w:rsidRPr="005011B1">
        <w:rPr>
          <w:color w:val="000000"/>
        </w:rPr>
        <w:t xml:space="preserve">, </w:t>
      </w:r>
      <w:r w:rsidRPr="005011B1">
        <w:rPr>
          <w:color w:val="000000"/>
        </w:rPr>
        <w:t>Massimo Zecchin</w:t>
      </w:r>
      <w:r w:rsidR="00AA4A2F" w:rsidRPr="005011B1">
        <w:rPr>
          <w:color w:val="000000"/>
        </w:rPr>
        <w:t xml:space="preserve"> MD</w:t>
      </w:r>
      <w:r w:rsidR="001D570E" w:rsidRPr="005011B1">
        <w:rPr>
          <w:color w:val="000000"/>
          <w:vertAlign w:val="superscript"/>
        </w:rPr>
        <w:t>3</w:t>
      </w:r>
      <w:r w:rsidRPr="005011B1">
        <w:rPr>
          <w:color w:val="000000"/>
        </w:rPr>
        <w:t>, Domenico Facchin</w:t>
      </w:r>
      <w:r w:rsidR="00AA4A2F" w:rsidRPr="005011B1">
        <w:rPr>
          <w:color w:val="000000"/>
        </w:rPr>
        <w:t xml:space="preserve"> MD</w:t>
      </w:r>
      <w:r w:rsidR="001D570E" w:rsidRPr="005011B1">
        <w:rPr>
          <w:color w:val="000000"/>
          <w:vertAlign w:val="superscript"/>
        </w:rPr>
        <w:t>1</w:t>
      </w:r>
      <w:r w:rsidRPr="005011B1">
        <w:rPr>
          <w:color w:val="000000"/>
        </w:rPr>
        <w:t>, Maurizio Gasparini</w:t>
      </w:r>
      <w:r w:rsidR="00AA4A2F" w:rsidRPr="005011B1">
        <w:rPr>
          <w:color w:val="000000"/>
        </w:rPr>
        <w:t xml:space="preserve"> MD</w:t>
      </w:r>
      <w:r w:rsidR="001D570E" w:rsidRPr="005011B1">
        <w:rPr>
          <w:color w:val="000000"/>
          <w:vertAlign w:val="superscript"/>
        </w:rPr>
        <w:t>4</w:t>
      </w:r>
      <w:r w:rsidRPr="005011B1">
        <w:rPr>
          <w:color w:val="000000"/>
        </w:rPr>
        <w:t>, Maurizio Landolina</w:t>
      </w:r>
      <w:r w:rsidR="00AA4A2F" w:rsidRPr="005011B1">
        <w:rPr>
          <w:color w:val="000000"/>
        </w:rPr>
        <w:t xml:space="preserve"> MD</w:t>
      </w:r>
      <w:r w:rsidR="001D570E" w:rsidRPr="005011B1">
        <w:rPr>
          <w:color w:val="000000"/>
          <w:vertAlign w:val="superscript"/>
        </w:rPr>
        <w:t>5</w:t>
      </w:r>
      <w:r w:rsidRPr="005011B1">
        <w:rPr>
          <w:color w:val="000000"/>
        </w:rPr>
        <w:t>, Renato Pietro Ricci</w:t>
      </w:r>
      <w:r w:rsidR="00AA4A2F" w:rsidRPr="005011B1">
        <w:rPr>
          <w:color w:val="000000"/>
        </w:rPr>
        <w:t xml:space="preserve"> MD</w:t>
      </w:r>
      <w:r w:rsidR="001D570E" w:rsidRPr="005011B1">
        <w:rPr>
          <w:color w:val="000000"/>
          <w:vertAlign w:val="superscript"/>
        </w:rPr>
        <w:t>6</w:t>
      </w:r>
      <w:r w:rsidRPr="005011B1">
        <w:rPr>
          <w:color w:val="000000"/>
        </w:rPr>
        <w:t>,</w:t>
      </w:r>
      <w:r w:rsidR="00AA4A2F" w:rsidRPr="005011B1">
        <w:rPr>
          <w:color w:val="000000"/>
        </w:rPr>
        <w:t xml:space="preserve"> </w:t>
      </w:r>
      <w:r w:rsidR="00555900" w:rsidRPr="005011B1">
        <w:rPr>
          <w:color w:val="000000"/>
        </w:rPr>
        <w:t>Corrado Lanera PhD</w:t>
      </w:r>
      <w:r w:rsidR="00555900" w:rsidRPr="005011B1">
        <w:rPr>
          <w:color w:val="000000"/>
          <w:vertAlign w:val="superscript"/>
        </w:rPr>
        <w:t>7</w:t>
      </w:r>
      <w:r w:rsidR="00555900" w:rsidRPr="005011B1">
        <w:rPr>
          <w:color w:val="000000"/>
        </w:rPr>
        <w:t xml:space="preserve">, </w:t>
      </w:r>
      <w:r w:rsidR="005456C7" w:rsidRPr="005011B1">
        <w:rPr>
          <w:color w:val="000000"/>
        </w:rPr>
        <w:t>Dario Gregori</w:t>
      </w:r>
      <w:r w:rsidR="00AA4A2F" w:rsidRPr="005011B1">
        <w:rPr>
          <w:color w:val="000000"/>
        </w:rPr>
        <w:t xml:space="preserve"> PhD</w:t>
      </w:r>
      <w:r w:rsidR="001D570E" w:rsidRPr="005011B1">
        <w:rPr>
          <w:color w:val="000000"/>
          <w:vertAlign w:val="superscript"/>
        </w:rPr>
        <w:t>7</w:t>
      </w:r>
      <w:r w:rsidR="00AA4A2F" w:rsidRPr="005011B1">
        <w:rPr>
          <w:color w:val="000000"/>
        </w:rPr>
        <w:t>,</w:t>
      </w:r>
      <w:r w:rsidR="00780D71" w:rsidRPr="005011B1">
        <w:rPr>
          <w:color w:val="000000"/>
        </w:rPr>
        <w:t xml:space="preserve"> Alessandro Proclemer</w:t>
      </w:r>
      <w:r w:rsidR="00AA4A2F" w:rsidRPr="005011B1">
        <w:rPr>
          <w:color w:val="000000"/>
        </w:rPr>
        <w:t xml:space="preserve"> MD</w:t>
      </w:r>
      <w:r w:rsidR="001D570E" w:rsidRPr="005011B1">
        <w:rPr>
          <w:color w:val="000000"/>
          <w:vertAlign w:val="superscript"/>
        </w:rPr>
        <w:t>1</w:t>
      </w:r>
    </w:p>
    <w:p w14:paraId="43B64729" w14:textId="77777777" w:rsidR="001D570E" w:rsidRPr="005011B1" w:rsidRDefault="001D570E" w:rsidP="001D570E">
      <w:pPr>
        <w:pStyle w:val="ListParagraph"/>
        <w:numPr>
          <w:ilvl w:val="0"/>
          <w:numId w:val="1"/>
        </w:numPr>
        <w:spacing w:line="480" w:lineRule="auto"/>
        <w:rPr>
          <w:rFonts w:cs="Calibri"/>
          <w:color w:val="000000"/>
          <w:sz w:val="20"/>
        </w:rPr>
      </w:pPr>
      <w:r w:rsidRPr="005011B1">
        <w:rPr>
          <w:rFonts w:cs="Calibri"/>
          <w:color w:val="000000"/>
          <w:sz w:val="20"/>
        </w:rPr>
        <w:t>Cardiology Division, Azienda Sanitaria Universitaria Integrata di Udine and IRCAB Foundation, Udine, Italy.</w:t>
      </w:r>
    </w:p>
    <w:p w14:paraId="42D4BD72" w14:textId="77777777" w:rsidR="00871077" w:rsidRPr="005011B1" w:rsidRDefault="00710DC4" w:rsidP="001975FE">
      <w:pPr>
        <w:pStyle w:val="ListParagraph"/>
        <w:numPr>
          <w:ilvl w:val="0"/>
          <w:numId w:val="1"/>
        </w:numPr>
        <w:spacing w:line="480" w:lineRule="auto"/>
        <w:rPr>
          <w:rFonts w:cs="Calibri"/>
          <w:color w:val="000000"/>
          <w:sz w:val="20"/>
          <w:lang w:val="en-US"/>
        </w:rPr>
      </w:pPr>
      <w:r w:rsidRPr="005011B1">
        <w:rPr>
          <w:rFonts w:cs="Calibri"/>
          <w:color w:val="000000"/>
          <w:sz w:val="20"/>
          <w:lang w:val="en-US"/>
        </w:rPr>
        <w:t xml:space="preserve">Cardiology Division, Department of Biomedical, Metabolic and Neural Sciences, University of Modena and Reggio Emilia, </w:t>
      </w:r>
      <w:proofErr w:type="spellStart"/>
      <w:r w:rsidRPr="005011B1">
        <w:rPr>
          <w:rFonts w:cs="Calibri"/>
          <w:color w:val="000000"/>
          <w:sz w:val="20"/>
          <w:lang w:val="en-US"/>
        </w:rPr>
        <w:t>Policlinico</w:t>
      </w:r>
      <w:proofErr w:type="spellEnd"/>
      <w:r w:rsidRPr="005011B1">
        <w:rPr>
          <w:rFonts w:cs="Calibri"/>
          <w:color w:val="000000"/>
          <w:sz w:val="20"/>
          <w:lang w:val="en-US"/>
        </w:rPr>
        <w:t xml:space="preserve"> di Modena, Modena, Italy</w:t>
      </w:r>
    </w:p>
    <w:p w14:paraId="7674982D" w14:textId="77777777" w:rsidR="001975FE" w:rsidRPr="005011B1" w:rsidRDefault="001975FE" w:rsidP="001975FE">
      <w:pPr>
        <w:pStyle w:val="ListParagraph"/>
        <w:numPr>
          <w:ilvl w:val="0"/>
          <w:numId w:val="1"/>
        </w:numPr>
        <w:spacing w:line="480" w:lineRule="auto"/>
        <w:rPr>
          <w:rFonts w:cs="Calibri"/>
          <w:color w:val="000000"/>
          <w:sz w:val="20"/>
        </w:rPr>
      </w:pPr>
      <w:r w:rsidRPr="005011B1">
        <w:rPr>
          <w:rFonts w:cs="Calibri"/>
          <w:color w:val="000000"/>
          <w:sz w:val="20"/>
        </w:rPr>
        <w:t xml:space="preserve">Cardiovascular Department, Azienda </w:t>
      </w:r>
      <w:r w:rsidR="00A639D7" w:rsidRPr="005011B1">
        <w:rPr>
          <w:rFonts w:cs="Calibri"/>
          <w:color w:val="000000"/>
          <w:sz w:val="20"/>
        </w:rPr>
        <w:t>Sanitaria Universitaria Integrata di</w:t>
      </w:r>
      <w:r w:rsidRPr="005011B1">
        <w:rPr>
          <w:rFonts w:cs="Calibri"/>
          <w:color w:val="000000"/>
          <w:sz w:val="20"/>
        </w:rPr>
        <w:t xml:space="preserve"> Trieste</w:t>
      </w:r>
      <w:r w:rsidR="00A639D7" w:rsidRPr="005011B1">
        <w:rPr>
          <w:rFonts w:cs="Calibri"/>
          <w:color w:val="000000"/>
          <w:sz w:val="20"/>
        </w:rPr>
        <w:t>, Italy.</w:t>
      </w:r>
    </w:p>
    <w:p w14:paraId="71FEE769" w14:textId="77777777" w:rsidR="001975FE" w:rsidRPr="005011B1" w:rsidRDefault="001975FE" w:rsidP="001975FE">
      <w:pPr>
        <w:pStyle w:val="ListParagraph"/>
        <w:numPr>
          <w:ilvl w:val="0"/>
          <w:numId w:val="1"/>
        </w:numPr>
        <w:spacing w:line="480" w:lineRule="auto"/>
        <w:rPr>
          <w:rFonts w:cs="Calibri"/>
          <w:color w:val="000000"/>
          <w:sz w:val="20"/>
          <w:lang w:val="en-US"/>
        </w:rPr>
      </w:pPr>
      <w:r w:rsidRPr="005011B1">
        <w:rPr>
          <w:rFonts w:cs="Calibri"/>
          <w:color w:val="000000"/>
          <w:sz w:val="20"/>
          <w:lang w:val="en-US"/>
        </w:rPr>
        <w:t xml:space="preserve">Electrophysiology and Pacing Unit, </w:t>
      </w:r>
      <w:proofErr w:type="spellStart"/>
      <w:r w:rsidRPr="005011B1">
        <w:rPr>
          <w:rFonts w:cs="Calibri"/>
          <w:color w:val="000000"/>
          <w:sz w:val="20"/>
          <w:lang w:val="en-US"/>
        </w:rPr>
        <w:t>Humanitas</w:t>
      </w:r>
      <w:proofErr w:type="spellEnd"/>
      <w:r w:rsidRPr="005011B1">
        <w:rPr>
          <w:rFonts w:cs="Calibri"/>
          <w:color w:val="000000"/>
          <w:sz w:val="20"/>
          <w:lang w:val="en-US"/>
        </w:rPr>
        <w:t xml:space="preserve"> Research Hospital, IRCCS, </w:t>
      </w:r>
      <w:proofErr w:type="spellStart"/>
      <w:r w:rsidRPr="005011B1">
        <w:rPr>
          <w:rFonts w:cs="Calibri"/>
          <w:color w:val="000000"/>
          <w:sz w:val="20"/>
          <w:lang w:val="en-US"/>
        </w:rPr>
        <w:t>Rozzano</w:t>
      </w:r>
      <w:proofErr w:type="spellEnd"/>
      <w:r w:rsidRPr="005011B1">
        <w:rPr>
          <w:rFonts w:cs="Calibri"/>
          <w:color w:val="000000"/>
          <w:sz w:val="20"/>
          <w:lang w:val="en-US"/>
        </w:rPr>
        <w:t xml:space="preserve"> (MI), Italy</w:t>
      </w:r>
    </w:p>
    <w:p w14:paraId="5B00AB18" w14:textId="77777777" w:rsidR="00C4431E" w:rsidRPr="005011B1" w:rsidRDefault="009D2CA9" w:rsidP="00C4431E">
      <w:pPr>
        <w:pStyle w:val="ListParagraph"/>
        <w:numPr>
          <w:ilvl w:val="0"/>
          <w:numId w:val="1"/>
        </w:numPr>
        <w:spacing w:line="480" w:lineRule="auto"/>
        <w:rPr>
          <w:rFonts w:cs="Calibri"/>
          <w:color w:val="000000"/>
          <w:sz w:val="20"/>
        </w:rPr>
      </w:pPr>
      <w:r w:rsidRPr="005011B1">
        <w:rPr>
          <w:rFonts w:eastAsia="Times New Roman" w:cs="Calibri"/>
          <w:color w:val="000000"/>
          <w:sz w:val="20"/>
          <w:lang w:eastAsia="it-IT"/>
        </w:rPr>
        <w:t>Cardiology Department, Ospedale Maggiore, Crema, Italy</w:t>
      </w:r>
    </w:p>
    <w:p w14:paraId="43B08C9D" w14:textId="77777777" w:rsidR="009D2CA9" w:rsidRPr="005011B1" w:rsidRDefault="00C4431E" w:rsidP="00C4431E">
      <w:pPr>
        <w:pStyle w:val="ListParagraph"/>
        <w:numPr>
          <w:ilvl w:val="0"/>
          <w:numId w:val="1"/>
        </w:numPr>
        <w:spacing w:line="480" w:lineRule="auto"/>
        <w:rPr>
          <w:rFonts w:cs="Calibri"/>
          <w:color w:val="000000"/>
          <w:sz w:val="20"/>
        </w:rPr>
      </w:pPr>
      <w:r w:rsidRPr="005011B1">
        <w:rPr>
          <w:rFonts w:cs="Calibri"/>
          <w:color w:val="000000"/>
          <w:sz w:val="20"/>
        </w:rPr>
        <w:t>CCU-Cardiology Department, Presidio Ospedaliero San Filippo Neri, Roma, Italy</w:t>
      </w:r>
    </w:p>
    <w:p w14:paraId="670F3528" w14:textId="77777777" w:rsidR="00820ED5" w:rsidRPr="005011B1" w:rsidRDefault="00C4431E" w:rsidP="00820ED5">
      <w:pPr>
        <w:pStyle w:val="ListParagraph"/>
        <w:numPr>
          <w:ilvl w:val="0"/>
          <w:numId w:val="1"/>
        </w:numPr>
        <w:spacing w:line="480" w:lineRule="auto"/>
        <w:rPr>
          <w:rFonts w:cs="Calibri"/>
          <w:color w:val="000000"/>
          <w:sz w:val="20"/>
          <w:lang w:val="en-US"/>
        </w:rPr>
      </w:pPr>
      <w:proofErr w:type="spellStart"/>
      <w:r w:rsidRPr="005011B1">
        <w:rPr>
          <w:rFonts w:cs="Calibri"/>
          <w:color w:val="000000"/>
          <w:sz w:val="20"/>
          <w:lang w:val="en-US"/>
        </w:rPr>
        <w:t>Biostatistic</w:t>
      </w:r>
      <w:proofErr w:type="spellEnd"/>
      <w:r w:rsidRPr="005011B1">
        <w:rPr>
          <w:rFonts w:cs="Calibri"/>
          <w:color w:val="000000"/>
          <w:sz w:val="20"/>
          <w:lang w:val="en-US"/>
        </w:rPr>
        <w:t xml:space="preserve"> Unit, Department of Cardiac Thoracic Vascular Sciences and Public Health, University of Padova, Italy</w:t>
      </w:r>
    </w:p>
    <w:p w14:paraId="4D771C5E" w14:textId="77777777" w:rsidR="00780D71" w:rsidRPr="005011B1" w:rsidRDefault="00820ED5" w:rsidP="00795821">
      <w:pPr>
        <w:spacing w:line="480" w:lineRule="auto"/>
        <w:rPr>
          <w:color w:val="000000"/>
          <w:lang w:val="en-US"/>
        </w:rPr>
      </w:pPr>
      <w:r w:rsidRPr="005011B1">
        <w:rPr>
          <w:color w:val="000000"/>
          <w:lang w:val="en-US"/>
        </w:rPr>
        <w:t>CORRESPONDING AUTHOR</w:t>
      </w:r>
    </w:p>
    <w:p w14:paraId="6D881E02" w14:textId="77777777" w:rsidR="00820ED5" w:rsidRPr="005011B1" w:rsidRDefault="001115B5" w:rsidP="00820ED5">
      <w:pPr>
        <w:spacing w:line="360" w:lineRule="auto"/>
        <w:rPr>
          <w:color w:val="000000"/>
          <w:lang w:val="en-US"/>
        </w:rPr>
      </w:pPr>
      <w:r w:rsidRPr="005011B1">
        <w:rPr>
          <w:color w:val="000000"/>
          <w:lang w:val="en-US"/>
        </w:rPr>
        <w:t xml:space="preserve"> </w:t>
      </w:r>
      <w:r w:rsidR="00820ED5" w:rsidRPr="005011B1">
        <w:rPr>
          <w:color w:val="000000"/>
          <w:lang w:val="en-US"/>
        </w:rPr>
        <w:t>Stefano Poli</w:t>
      </w:r>
      <w:r w:rsidRPr="005011B1">
        <w:rPr>
          <w:color w:val="000000"/>
          <w:lang w:val="en-US"/>
        </w:rPr>
        <w:t xml:space="preserve">, MD </w:t>
      </w:r>
    </w:p>
    <w:p w14:paraId="19F42718" w14:textId="77777777" w:rsidR="00820ED5" w:rsidRPr="005011B1" w:rsidRDefault="00820ED5" w:rsidP="00820ED5">
      <w:pPr>
        <w:spacing w:line="360" w:lineRule="auto"/>
        <w:rPr>
          <w:color w:val="000000"/>
          <w:lang w:val="en-US"/>
        </w:rPr>
      </w:pPr>
      <w:r w:rsidRPr="005011B1">
        <w:rPr>
          <w:color w:val="000000"/>
          <w:lang w:val="en-US"/>
        </w:rPr>
        <w:t xml:space="preserve">Cardiology Division </w:t>
      </w:r>
    </w:p>
    <w:p w14:paraId="468C7AA4" w14:textId="77777777" w:rsidR="00820ED5" w:rsidRPr="005011B1" w:rsidRDefault="00820ED5" w:rsidP="00820ED5">
      <w:pPr>
        <w:spacing w:line="360" w:lineRule="auto"/>
        <w:rPr>
          <w:color w:val="000000"/>
        </w:rPr>
      </w:pPr>
      <w:r w:rsidRPr="005011B1">
        <w:rPr>
          <w:color w:val="000000"/>
        </w:rPr>
        <w:t>Azienda Sanitaria Universitaria Integrata di Udine (ASUIUD)</w:t>
      </w:r>
    </w:p>
    <w:p w14:paraId="1649C4E4" w14:textId="77777777" w:rsidR="00820ED5" w:rsidRPr="005011B1" w:rsidRDefault="00820ED5" w:rsidP="00820ED5">
      <w:pPr>
        <w:spacing w:line="360" w:lineRule="auto"/>
        <w:rPr>
          <w:color w:val="000000"/>
        </w:rPr>
      </w:pPr>
      <w:r w:rsidRPr="005011B1">
        <w:rPr>
          <w:color w:val="000000"/>
        </w:rPr>
        <w:t>P.le Santa Maria della Misericordia, 15</w:t>
      </w:r>
    </w:p>
    <w:p w14:paraId="2713141B" w14:textId="77777777" w:rsidR="00820ED5" w:rsidRPr="00F243AB" w:rsidRDefault="00820ED5" w:rsidP="00820ED5">
      <w:pPr>
        <w:spacing w:line="360" w:lineRule="auto"/>
        <w:rPr>
          <w:color w:val="000000"/>
          <w:lang w:val="en-US"/>
        </w:rPr>
      </w:pPr>
      <w:r w:rsidRPr="00F243AB">
        <w:rPr>
          <w:color w:val="000000"/>
          <w:lang w:val="en-US"/>
        </w:rPr>
        <w:t xml:space="preserve">Tel: +39 0432 552441; Fax: +39 0432 482353 </w:t>
      </w:r>
    </w:p>
    <w:p w14:paraId="21F708E8" w14:textId="77777777" w:rsidR="00820ED5" w:rsidRPr="00F243AB" w:rsidRDefault="00820ED5" w:rsidP="00820ED5">
      <w:pPr>
        <w:spacing w:line="360" w:lineRule="auto"/>
        <w:rPr>
          <w:color w:val="000000"/>
          <w:lang w:val="en-US"/>
        </w:rPr>
      </w:pPr>
      <w:r w:rsidRPr="00F243AB">
        <w:rPr>
          <w:color w:val="000000"/>
          <w:lang w:val="en-US"/>
        </w:rPr>
        <w:t xml:space="preserve">E-mail: </w:t>
      </w:r>
      <w:r w:rsidR="00AC4FCD" w:rsidRPr="00F243AB">
        <w:rPr>
          <w:rStyle w:val="Hyperlink"/>
          <w:color w:val="000000"/>
          <w:lang w:val="en-US"/>
        </w:rPr>
        <w:t>stefano.poli@asuiud.sanita.fvg.it</w:t>
      </w:r>
      <w:r w:rsidRPr="00F243AB">
        <w:rPr>
          <w:color w:val="000000"/>
          <w:lang w:val="en-US"/>
        </w:rPr>
        <w:t xml:space="preserve"> </w:t>
      </w:r>
    </w:p>
    <w:p w14:paraId="1D1D6F7F" w14:textId="77777777" w:rsidR="009F138E" w:rsidRPr="005011B1" w:rsidRDefault="002D26DD" w:rsidP="003A3430">
      <w:pPr>
        <w:tabs>
          <w:tab w:val="left" w:pos="6416"/>
        </w:tabs>
        <w:spacing w:line="480" w:lineRule="auto"/>
        <w:rPr>
          <w:color w:val="000000"/>
          <w:sz w:val="28"/>
          <w:szCs w:val="28"/>
          <w:lang w:val="en-US"/>
        </w:rPr>
      </w:pPr>
      <w:r w:rsidRPr="005011B1">
        <w:rPr>
          <w:color w:val="000000"/>
          <w:sz w:val="28"/>
          <w:szCs w:val="28"/>
          <w:lang w:val="en-US"/>
        </w:rPr>
        <w:lastRenderedPageBreak/>
        <w:t>ABSTRACT</w:t>
      </w:r>
      <w:r w:rsidR="003A3430" w:rsidRPr="005011B1">
        <w:rPr>
          <w:color w:val="000000"/>
          <w:sz w:val="28"/>
          <w:szCs w:val="28"/>
          <w:lang w:val="en-US"/>
        </w:rPr>
        <w:tab/>
      </w:r>
    </w:p>
    <w:p w14:paraId="0D4B0BFE" w14:textId="07FB4466" w:rsidR="009F138E" w:rsidRPr="005011B1" w:rsidRDefault="009F138E" w:rsidP="009F138E">
      <w:pPr>
        <w:spacing w:line="480" w:lineRule="auto"/>
        <w:rPr>
          <w:color w:val="000000"/>
          <w:lang w:val="en-US"/>
        </w:rPr>
      </w:pPr>
      <w:r w:rsidRPr="005011B1">
        <w:rPr>
          <w:b/>
          <w:color w:val="000000"/>
          <w:lang w:val="en-US"/>
        </w:rPr>
        <w:t xml:space="preserve">Background </w:t>
      </w:r>
      <w:r w:rsidRPr="005011B1">
        <w:rPr>
          <w:color w:val="000000"/>
          <w:lang w:val="en-US"/>
        </w:rPr>
        <w:t xml:space="preserve">Implantable Cardioverter Defibrillators (ICD) are widely employed for the prevention of sudden cardiac death. Despite technological improvements, </w:t>
      </w:r>
      <w:r w:rsidR="00CE68BF" w:rsidRPr="005011B1">
        <w:rPr>
          <w:color w:val="000000"/>
          <w:lang w:val="en-US"/>
        </w:rPr>
        <w:t>patients often need to undergo</w:t>
      </w:r>
      <w:r w:rsidRPr="005011B1">
        <w:rPr>
          <w:color w:val="000000"/>
          <w:lang w:val="en-US"/>
        </w:rPr>
        <w:t xml:space="preserve"> generator’s replacement </w:t>
      </w:r>
      <w:r w:rsidR="00CE68BF" w:rsidRPr="005011B1">
        <w:rPr>
          <w:color w:val="000000"/>
          <w:lang w:val="en-US"/>
        </w:rPr>
        <w:t xml:space="preserve">which </w:t>
      </w:r>
      <w:r w:rsidRPr="005011B1">
        <w:rPr>
          <w:color w:val="000000"/>
          <w:lang w:val="en-US"/>
        </w:rPr>
        <w:t>entail</w:t>
      </w:r>
      <w:r w:rsidR="00CE68BF" w:rsidRPr="005011B1">
        <w:rPr>
          <w:color w:val="000000"/>
          <w:lang w:val="en-US"/>
        </w:rPr>
        <w:t>s</w:t>
      </w:r>
      <w:r w:rsidRPr="005011B1">
        <w:rPr>
          <w:color w:val="000000"/>
          <w:lang w:val="en-US"/>
        </w:rPr>
        <w:t xml:space="preserve"> the risk of periprocedural complications. Our aim was </w:t>
      </w:r>
      <w:r w:rsidR="00E91DEE" w:rsidRPr="005011B1">
        <w:rPr>
          <w:color w:val="000000"/>
          <w:lang w:val="en-US"/>
        </w:rPr>
        <w:t>to estimate</w:t>
      </w:r>
      <w:r w:rsidRPr="005011B1">
        <w:rPr>
          <w:color w:val="000000"/>
          <w:lang w:val="en-US"/>
        </w:rPr>
        <w:t xml:space="preserve"> the service</w:t>
      </w:r>
      <w:r w:rsidR="00690B64" w:rsidRPr="005011B1">
        <w:rPr>
          <w:color w:val="000000"/>
          <w:lang w:val="en-US"/>
        </w:rPr>
        <w:t>-</w:t>
      </w:r>
      <w:r w:rsidRPr="005011B1">
        <w:rPr>
          <w:color w:val="000000"/>
          <w:lang w:val="en-US"/>
        </w:rPr>
        <w:t xml:space="preserve">life </w:t>
      </w:r>
      <w:r w:rsidR="00462638">
        <w:rPr>
          <w:color w:val="000000"/>
          <w:lang w:val="en-US"/>
        </w:rPr>
        <w:t>of ICDs</w:t>
      </w:r>
      <w:r w:rsidRPr="005011B1">
        <w:rPr>
          <w:color w:val="000000"/>
          <w:lang w:val="en-US"/>
        </w:rPr>
        <w:t xml:space="preserve"> over a </w:t>
      </w:r>
      <w:r w:rsidR="003E344A" w:rsidRPr="005011B1">
        <w:rPr>
          <w:color w:val="000000"/>
          <w:lang w:val="en-US"/>
        </w:rPr>
        <w:t>ten-year</w:t>
      </w:r>
      <w:r w:rsidRPr="005011B1">
        <w:rPr>
          <w:color w:val="000000"/>
          <w:lang w:val="en-US"/>
        </w:rPr>
        <w:t xml:space="preserve"> interval and to assess the main causes of replacement </w:t>
      </w:r>
      <w:proofErr w:type="gramStart"/>
      <w:r w:rsidRPr="005011B1">
        <w:rPr>
          <w:color w:val="000000"/>
          <w:lang w:val="en-US"/>
        </w:rPr>
        <w:t>on the basis of</w:t>
      </w:r>
      <w:proofErr w:type="gramEnd"/>
      <w:r w:rsidRPr="005011B1">
        <w:rPr>
          <w:color w:val="000000"/>
          <w:lang w:val="en-US"/>
        </w:rPr>
        <w:t xml:space="preserve"> data from the National ICD Registry of the Italian Society of </w:t>
      </w:r>
      <w:proofErr w:type="spellStart"/>
      <w:r w:rsidRPr="005011B1">
        <w:rPr>
          <w:color w:val="000000"/>
          <w:lang w:val="en-US"/>
        </w:rPr>
        <w:t>Arrhythmology</w:t>
      </w:r>
      <w:proofErr w:type="spellEnd"/>
      <w:r w:rsidRPr="005011B1">
        <w:rPr>
          <w:color w:val="000000"/>
          <w:lang w:val="en-US"/>
        </w:rPr>
        <w:t xml:space="preserve"> and Cardiac Pacing (AIAC).</w:t>
      </w:r>
    </w:p>
    <w:p w14:paraId="140F74F9" w14:textId="6FDD5AC6" w:rsidR="009F138E" w:rsidRPr="005011B1" w:rsidRDefault="009F138E" w:rsidP="009F138E">
      <w:pPr>
        <w:spacing w:line="480" w:lineRule="auto"/>
        <w:rPr>
          <w:b/>
          <w:color w:val="000000"/>
          <w:lang w:val="en-US"/>
        </w:rPr>
      </w:pPr>
      <w:r w:rsidRPr="005011B1">
        <w:rPr>
          <w:b/>
          <w:color w:val="000000"/>
          <w:lang w:val="en-US"/>
        </w:rPr>
        <w:t>Methods</w:t>
      </w:r>
      <w:r w:rsidR="00462638">
        <w:rPr>
          <w:b/>
          <w:color w:val="000000"/>
          <w:lang w:val="en-US"/>
        </w:rPr>
        <w:t xml:space="preserve"> and Results</w:t>
      </w:r>
      <w:r w:rsidRPr="005011B1">
        <w:rPr>
          <w:b/>
          <w:color w:val="000000"/>
          <w:lang w:val="en-US"/>
        </w:rPr>
        <w:t xml:space="preserve"> </w:t>
      </w:r>
      <w:r w:rsidRPr="005011B1">
        <w:rPr>
          <w:color w:val="000000"/>
          <w:lang w:val="en-US"/>
        </w:rPr>
        <w:t xml:space="preserve">AIAC registry includes data from over 400 hospitals in Italy. We included all patients who underwent device replacement from Calendar 2007 to Calendar </w:t>
      </w:r>
      <w:r w:rsidR="003A3430" w:rsidRPr="005011B1">
        <w:rPr>
          <w:color w:val="000000"/>
          <w:lang w:val="en-US"/>
        </w:rPr>
        <w:t xml:space="preserve">2016 years. The median </w:t>
      </w:r>
      <w:r w:rsidR="00057555" w:rsidRPr="005011B1">
        <w:rPr>
          <w:color w:val="000000"/>
          <w:lang w:val="en-US"/>
        </w:rPr>
        <w:t>service-life</w:t>
      </w:r>
      <w:r w:rsidR="003A3430" w:rsidRPr="005011B1">
        <w:rPr>
          <w:color w:val="000000"/>
          <w:lang w:val="en-US"/>
        </w:rPr>
        <w:t xml:space="preserve"> </w:t>
      </w:r>
      <w:r w:rsidRPr="005011B1">
        <w:rPr>
          <w:color w:val="000000"/>
          <w:lang w:val="en-US"/>
        </w:rPr>
        <w:t>of the ICDs</w:t>
      </w:r>
      <w:r w:rsidR="00083561" w:rsidRPr="005011B1">
        <w:rPr>
          <w:color w:val="000000"/>
          <w:lang w:val="en-US"/>
        </w:rPr>
        <w:t xml:space="preserve"> and </w:t>
      </w:r>
      <w:r w:rsidRPr="005011B1">
        <w:rPr>
          <w:color w:val="000000"/>
          <w:lang w:val="en-US"/>
        </w:rPr>
        <w:t>its trend over the years was estimated across the three types of device (VR, DR, CRT-D) and the indication to implantation</w:t>
      </w:r>
      <w:r w:rsidR="00462638">
        <w:rPr>
          <w:color w:val="000000"/>
          <w:lang w:val="en-US"/>
        </w:rPr>
        <w:t>.</w:t>
      </w:r>
      <w:r w:rsidR="009A3D00">
        <w:rPr>
          <w:color w:val="000000"/>
          <w:lang w:val="en-US"/>
        </w:rPr>
        <w:t xml:space="preserve"> </w:t>
      </w:r>
      <w:r w:rsidRPr="005011B1">
        <w:rPr>
          <w:color w:val="000000"/>
          <w:lang w:val="en-US"/>
        </w:rPr>
        <w:t>The causes of replacement were also analyzed.</w:t>
      </w:r>
      <w:r w:rsidR="00462638">
        <w:rPr>
          <w:b/>
          <w:color w:val="000000"/>
          <w:lang w:val="en-US"/>
        </w:rPr>
        <w:t xml:space="preserve"> </w:t>
      </w:r>
      <w:r w:rsidRPr="005011B1">
        <w:rPr>
          <w:color w:val="000000"/>
          <w:lang w:val="en-US"/>
        </w:rPr>
        <w:t xml:space="preserve">We </w:t>
      </w:r>
      <w:r w:rsidR="005952BD" w:rsidRPr="005011B1">
        <w:rPr>
          <w:color w:val="000000"/>
          <w:lang w:val="en-US"/>
        </w:rPr>
        <w:t xml:space="preserve">enrolled </w:t>
      </w:r>
      <w:r w:rsidRPr="005011B1">
        <w:rPr>
          <w:color w:val="000000"/>
          <w:lang w:val="en-US"/>
        </w:rPr>
        <w:t xml:space="preserve">29158 patients (80,9 % males; mean age </w:t>
      </w:r>
      <w:r w:rsidR="00FD1822" w:rsidRPr="005011B1">
        <w:rPr>
          <w:color w:val="000000"/>
          <w:lang w:val="en-US"/>
        </w:rPr>
        <w:t xml:space="preserve">at device replacement </w:t>
      </w:r>
      <w:r w:rsidRPr="005011B1">
        <w:rPr>
          <w:color w:val="000000"/>
          <w:lang w:val="en-US"/>
        </w:rPr>
        <w:t xml:space="preserve">65.8 </w:t>
      </w:r>
      <w:r w:rsidRPr="005011B1">
        <w:rPr>
          <w:color w:val="000000"/>
          <w:lang w:val="en-US"/>
        </w:rPr>
        <w:sym w:font="Symbol" w:char="F0B1"/>
      </w:r>
      <w:r w:rsidRPr="005011B1">
        <w:rPr>
          <w:color w:val="000000"/>
          <w:lang w:val="en-US"/>
        </w:rPr>
        <w:t xml:space="preserve"> 12.0 years old). The </w:t>
      </w:r>
      <w:r w:rsidRPr="005011B1">
        <w:rPr>
          <w:i/>
          <w:color w:val="000000"/>
          <w:lang w:val="en-US"/>
        </w:rPr>
        <w:t>median service</w:t>
      </w:r>
      <w:r w:rsidR="00690B64" w:rsidRPr="005011B1">
        <w:rPr>
          <w:i/>
          <w:color w:val="000000"/>
          <w:lang w:val="en-US"/>
        </w:rPr>
        <w:t>-</w:t>
      </w:r>
      <w:r w:rsidR="00E91DEE" w:rsidRPr="005011B1">
        <w:rPr>
          <w:i/>
          <w:color w:val="000000"/>
          <w:lang w:val="en-US"/>
        </w:rPr>
        <w:t>life of</w:t>
      </w:r>
      <w:r w:rsidRPr="005011B1">
        <w:rPr>
          <w:color w:val="000000"/>
          <w:lang w:val="en-US"/>
        </w:rPr>
        <w:t xml:space="preserve"> the devices was 57,3 IQR 27.8 months. Over the years, device’s </w:t>
      </w:r>
      <w:r w:rsidR="00057555" w:rsidRPr="005011B1">
        <w:rPr>
          <w:color w:val="000000"/>
          <w:lang w:val="en-US"/>
        </w:rPr>
        <w:t>service-life</w:t>
      </w:r>
      <w:r w:rsidRPr="005011B1">
        <w:rPr>
          <w:color w:val="000000"/>
          <w:lang w:val="en-US"/>
        </w:rPr>
        <w:t xml:space="preserve"> showed an increasing trend. </w:t>
      </w:r>
      <w:proofErr w:type="gramStart"/>
      <w:r w:rsidR="00CE68BF" w:rsidRPr="005011B1">
        <w:rPr>
          <w:color w:val="000000"/>
          <w:lang w:val="en-US"/>
        </w:rPr>
        <w:t>T</w:t>
      </w:r>
      <w:r w:rsidRPr="005011B1">
        <w:rPr>
          <w:color w:val="000000"/>
          <w:lang w:val="en-US"/>
        </w:rPr>
        <w:t>he majority of</w:t>
      </w:r>
      <w:proofErr w:type="gramEnd"/>
      <w:r w:rsidRPr="005011B1">
        <w:rPr>
          <w:color w:val="000000"/>
          <w:lang w:val="en-US"/>
        </w:rPr>
        <w:t xml:space="preserve"> patients underwent </w:t>
      </w:r>
      <w:r w:rsidR="00FD1822" w:rsidRPr="005011B1">
        <w:rPr>
          <w:color w:val="000000"/>
          <w:lang w:val="en-US"/>
        </w:rPr>
        <w:t xml:space="preserve">elective </w:t>
      </w:r>
      <w:r w:rsidR="00E91DEE" w:rsidRPr="005011B1">
        <w:rPr>
          <w:color w:val="000000"/>
          <w:lang w:val="en-US"/>
        </w:rPr>
        <w:t>replacement because</w:t>
      </w:r>
      <w:r w:rsidRPr="005011B1">
        <w:rPr>
          <w:color w:val="000000"/>
          <w:lang w:val="en-US"/>
        </w:rPr>
        <w:t xml:space="preserve"> of battery end of life</w:t>
      </w:r>
      <w:r w:rsidR="003A3430" w:rsidRPr="005011B1">
        <w:rPr>
          <w:color w:val="000000"/>
          <w:lang w:val="en-US"/>
        </w:rPr>
        <w:t xml:space="preserve"> </w:t>
      </w:r>
      <w:r w:rsidR="00E91DEE" w:rsidRPr="005011B1">
        <w:rPr>
          <w:color w:val="000000"/>
          <w:lang w:val="en-US"/>
        </w:rPr>
        <w:t>and over</w:t>
      </w:r>
      <w:r w:rsidRPr="005011B1">
        <w:rPr>
          <w:color w:val="000000"/>
          <w:lang w:val="en-US"/>
        </w:rPr>
        <w:t xml:space="preserve"> the years there was a significant reduction of replacement for recalls, </w:t>
      </w:r>
      <w:r w:rsidR="00451201">
        <w:rPr>
          <w:color w:val="000000"/>
          <w:lang w:val="en-US"/>
        </w:rPr>
        <w:t>erosion</w:t>
      </w:r>
      <w:r w:rsidRPr="005011B1">
        <w:rPr>
          <w:color w:val="000000"/>
          <w:lang w:val="en-US"/>
        </w:rPr>
        <w:t xml:space="preserve">/infections and </w:t>
      </w:r>
      <w:r w:rsidR="006E596C" w:rsidRPr="005011B1">
        <w:rPr>
          <w:color w:val="000000"/>
          <w:lang w:val="en-US"/>
        </w:rPr>
        <w:t xml:space="preserve">CRT </w:t>
      </w:r>
      <w:r w:rsidRPr="005011B1">
        <w:rPr>
          <w:color w:val="000000"/>
          <w:lang w:val="en-US"/>
        </w:rPr>
        <w:t>upgrading.</w:t>
      </w:r>
    </w:p>
    <w:p w14:paraId="30073592" w14:textId="3E59F9D1" w:rsidR="009F138E" w:rsidRPr="005011B1" w:rsidRDefault="009F138E" w:rsidP="009F138E">
      <w:pPr>
        <w:spacing w:line="480" w:lineRule="auto"/>
        <w:rPr>
          <w:color w:val="000000"/>
          <w:lang w:val="en-US"/>
        </w:rPr>
      </w:pPr>
      <w:r w:rsidRPr="005011B1">
        <w:rPr>
          <w:b/>
          <w:color w:val="000000"/>
          <w:lang w:val="en-US"/>
        </w:rPr>
        <w:t xml:space="preserve">Conclusions </w:t>
      </w:r>
      <w:r w:rsidRPr="005011B1">
        <w:rPr>
          <w:color w:val="000000"/>
          <w:lang w:val="en-US"/>
        </w:rPr>
        <w:t xml:space="preserve">Our data from a </w:t>
      </w:r>
      <w:r w:rsidR="00913803" w:rsidRPr="005011B1">
        <w:rPr>
          <w:color w:val="000000"/>
          <w:lang w:val="en-US"/>
        </w:rPr>
        <w:t xml:space="preserve">large </w:t>
      </w:r>
      <w:r w:rsidRPr="005011B1">
        <w:rPr>
          <w:color w:val="000000"/>
          <w:lang w:val="en-US"/>
        </w:rPr>
        <w:t>single-nation popula</w:t>
      </w:r>
      <w:r w:rsidR="00785415" w:rsidRPr="005011B1">
        <w:rPr>
          <w:color w:val="000000"/>
          <w:lang w:val="en-US"/>
        </w:rPr>
        <w:t>tion showed that</w:t>
      </w:r>
      <w:r w:rsidRPr="005011B1">
        <w:rPr>
          <w:color w:val="000000"/>
          <w:lang w:val="en-US"/>
        </w:rPr>
        <w:t xml:space="preserve"> the trend of </w:t>
      </w:r>
      <w:r w:rsidR="00E91DEE" w:rsidRPr="005011B1">
        <w:rPr>
          <w:color w:val="000000"/>
          <w:lang w:val="en-US"/>
        </w:rPr>
        <w:t>ICD service</w:t>
      </w:r>
      <w:r w:rsidR="00690B64" w:rsidRPr="005011B1">
        <w:rPr>
          <w:color w:val="000000"/>
          <w:lang w:val="en-US"/>
        </w:rPr>
        <w:t>-</w:t>
      </w:r>
      <w:r w:rsidRPr="005011B1">
        <w:rPr>
          <w:color w:val="000000"/>
          <w:lang w:val="en-US"/>
        </w:rPr>
        <w:t xml:space="preserve">life, independently from ICD type, indication and settings, significantly </w:t>
      </w:r>
      <w:r w:rsidR="007A5FFC" w:rsidRPr="005011B1">
        <w:rPr>
          <w:color w:val="000000"/>
          <w:lang w:val="en-US"/>
        </w:rPr>
        <w:t>improved over</w:t>
      </w:r>
      <w:r w:rsidRPr="005011B1">
        <w:rPr>
          <w:color w:val="000000"/>
          <w:lang w:val="en-US"/>
        </w:rPr>
        <w:t xml:space="preserve"> time. Moreover, </w:t>
      </w:r>
      <w:r w:rsidR="00CE68BF" w:rsidRPr="005011B1">
        <w:rPr>
          <w:color w:val="000000"/>
          <w:lang w:val="en-US"/>
        </w:rPr>
        <w:t>there was</w:t>
      </w:r>
      <w:r w:rsidRPr="005011B1">
        <w:rPr>
          <w:color w:val="000000"/>
          <w:lang w:val="en-US"/>
        </w:rPr>
        <w:t xml:space="preserve"> a striking reduction of </w:t>
      </w:r>
      <w:r w:rsidR="00E91DEE" w:rsidRPr="005011B1">
        <w:rPr>
          <w:color w:val="000000"/>
          <w:lang w:val="en-US"/>
        </w:rPr>
        <w:t>interventions for</w:t>
      </w:r>
      <w:r w:rsidRPr="005011B1">
        <w:rPr>
          <w:color w:val="000000"/>
          <w:lang w:val="en-US"/>
        </w:rPr>
        <w:t xml:space="preserve"> upgr</w:t>
      </w:r>
      <w:r w:rsidR="005952BD" w:rsidRPr="005011B1">
        <w:rPr>
          <w:color w:val="000000"/>
          <w:lang w:val="en-US"/>
        </w:rPr>
        <w:t>ading and infection/</w:t>
      </w:r>
      <w:r w:rsidR="00451201">
        <w:rPr>
          <w:color w:val="000000"/>
          <w:lang w:val="en-US"/>
        </w:rPr>
        <w:t>erosion</w:t>
      </w:r>
      <w:r w:rsidR="005952BD" w:rsidRPr="005011B1">
        <w:rPr>
          <w:color w:val="000000"/>
          <w:lang w:val="en-US"/>
        </w:rPr>
        <w:t xml:space="preserve">. This </w:t>
      </w:r>
      <w:r w:rsidR="003B5B45" w:rsidRPr="005011B1">
        <w:rPr>
          <w:color w:val="000000"/>
          <w:lang w:val="en-US"/>
        </w:rPr>
        <w:t>favo</w:t>
      </w:r>
      <w:r w:rsidR="00A50640" w:rsidRPr="005011B1">
        <w:rPr>
          <w:color w:val="000000"/>
          <w:lang w:val="en-US"/>
        </w:rPr>
        <w:t>rable</w:t>
      </w:r>
      <w:r w:rsidR="005952BD" w:rsidRPr="005011B1">
        <w:rPr>
          <w:color w:val="000000"/>
          <w:lang w:val="en-US"/>
        </w:rPr>
        <w:t xml:space="preserve"> trend has important clinical, organizational and financial implications.</w:t>
      </w:r>
    </w:p>
    <w:p w14:paraId="1F9EF5F6" w14:textId="64599691" w:rsidR="009C157B" w:rsidRDefault="009C157B" w:rsidP="009F138E">
      <w:pPr>
        <w:spacing w:line="480" w:lineRule="auto"/>
        <w:rPr>
          <w:color w:val="000000"/>
          <w:lang w:val="en-US"/>
        </w:rPr>
      </w:pPr>
    </w:p>
    <w:p w14:paraId="5BF231C2" w14:textId="77777777" w:rsidR="00B74D93" w:rsidRPr="005011B1" w:rsidRDefault="00B74D93" w:rsidP="009F138E">
      <w:pPr>
        <w:spacing w:line="480" w:lineRule="auto"/>
        <w:rPr>
          <w:color w:val="000000"/>
          <w:lang w:val="en-US"/>
        </w:rPr>
      </w:pPr>
    </w:p>
    <w:p w14:paraId="304EA2A1" w14:textId="67F5BE6F" w:rsidR="009C157B" w:rsidRPr="005011B1" w:rsidRDefault="009C157B" w:rsidP="009F138E">
      <w:pPr>
        <w:spacing w:line="480" w:lineRule="auto"/>
        <w:rPr>
          <w:color w:val="000000"/>
          <w:lang w:val="en-US"/>
        </w:rPr>
      </w:pPr>
      <w:r w:rsidRPr="009A3D00">
        <w:rPr>
          <w:color w:val="000000"/>
          <w:lang w:val="en-US"/>
        </w:rPr>
        <w:lastRenderedPageBreak/>
        <w:t>KEY WORD</w:t>
      </w:r>
      <w:r w:rsidR="00B74D93" w:rsidRPr="009A3D00">
        <w:rPr>
          <w:color w:val="000000"/>
          <w:lang w:val="en-US"/>
        </w:rPr>
        <w:t>S</w:t>
      </w:r>
      <w:r w:rsidRPr="009A3D00">
        <w:rPr>
          <w:color w:val="000000"/>
          <w:lang w:val="en-US"/>
        </w:rPr>
        <w:t>:</w:t>
      </w:r>
      <w:r w:rsidRPr="005011B1">
        <w:rPr>
          <w:color w:val="000000"/>
          <w:lang w:val="en-US"/>
        </w:rPr>
        <w:t xml:space="preserve"> </w:t>
      </w:r>
    </w:p>
    <w:p w14:paraId="53C1C02C" w14:textId="77777777" w:rsidR="009C157B" w:rsidRPr="005011B1" w:rsidRDefault="009C157B" w:rsidP="009C157B">
      <w:pPr>
        <w:pStyle w:val="ListParagraph"/>
        <w:numPr>
          <w:ilvl w:val="0"/>
          <w:numId w:val="2"/>
        </w:numPr>
        <w:spacing w:line="480" w:lineRule="auto"/>
        <w:rPr>
          <w:color w:val="000000"/>
          <w:lang w:val="en-US"/>
        </w:rPr>
      </w:pPr>
      <w:r w:rsidRPr="005011B1">
        <w:rPr>
          <w:color w:val="000000"/>
          <w:lang w:val="en-US"/>
        </w:rPr>
        <w:t>Implantable Cardioverter-Defibrillator</w:t>
      </w:r>
    </w:p>
    <w:p w14:paraId="4AF62EFA" w14:textId="77777777" w:rsidR="009C157B" w:rsidRPr="005011B1" w:rsidRDefault="009C157B" w:rsidP="009C157B">
      <w:pPr>
        <w:pStyle w:val="ListParagraph"/>
        <w:numPr>
          <w:ilvl w:val="0"/>
          <w:numId w:val="2"/>
        </w:numPr>
        <w:spacing w:line="480" w:lineRule="auto"/>
        <w:rPr>
          <w:color w:val="000000"/>
          <w:lang w:val="en-US"/>
        </w:rPr>
      </w:pPr>
      <w:r w:rsidRPr="005011B1">
        <w:rPr>
          <w:color w:val="000000"/>
          <w:lang w:val="en-US"/>
        </w:rPr>
        <w:t>Longevity</w:t>
      </w:r>
    </w:p>
    <w:p w14:paraId="6175023D" w14:textId="77777777" w:rsidR="009C157B" w:rsidRPr="005011B1" w:rsidRDefault="009C157B" w:rsidP="009C157B">
      <w:pPr>
        <w:pStyle w:val="ListParagraph"/>
        <w:numPr>
          <w:ilvl w:val="0"/>
          <w:numId w:val="2"/>
        </w:numPr>
        <w:spacing w:line="480" w:lineRule="auto"/>
        <w:rPr>
          <w:color w:val="000000"/>
          <w:lang w:val="en-US"/>
        </w:rPr>
      </w:pPr>
      <w:r w:rsidRPr="005011B1">
        <w:rPr>
          <w:color w:val="000000"/>
          <w:lang w:val="en-US"/>
        </w:rPr>
        <w:t>Registry</w:t>
      </w:r>
    </w:p>
    <w:p w14:paraId="60E3BAB2" w14:textId="77777777" w:rsidR="002D1559" w:rsidRPr="005011B1" w:rsidRDefault="002D1559">
      <w:pPr>
        <w:rPr>
          <w:color w:val="000000"/>
          <w:lang w:val="en-US"/>
        </w:rPr>
      </w:pPr>
      <w:r w:rsidRPr="005011B1">
        <w:rPr>
          <w:color w:val="000000"/>
          <w:lang w:val="en-US"/>
        </w:rPr>
        <w:br w:type="page"/>
      </w:r>
    </w:p>
    <w:p w14:paraId="1B7E2505" w14:textId="77777777" w:rsidR="005932A2" w:rsidRPr="005011B1" w:rsidRDefault="005932A2" w:rsidP="00795821">
      <w:pPr>
        <w:spacing w:line="480" w:lineRule="auto"/>
        <w:rPr>
          <w:color w:val="000000"/>
          <w:lang w:val="en-US"/>
        </w:rPr>
      </w:pPr>
      <w:r w:rsidRPr="005011B1">
        <w:rPr>
          <w:color w:val="000000"/>
          <w:lang w:val="en-US"/>
        </w:rPr>
        <w:lastRenderedPageBreak/>
        <w:t>INTRODUCTION</w:t>
      </w:r>
    </w:p>
    <w:p w14:paraId="515EE8F0" w14:textId="1CD1AF14" w:rsidR="00845CCE" w:rsidRPr="005011B1" w:rsidRDefault="007345A2" w:rsidP="456EB3F9">
      <w:pPr>
        <w:spacing w:line="480" w:lineRule="auto"/>
        <w:rPr>
          <w:color w:val="000000"/>
          <w:lang w:val="en-US"/>
        </w:rPr>
      </w:pPr>
      <w:r w:rsidRPr="005011B1">
        <w:rPr>
          <w:color w:val="000000"/>
          <w:lang w:val="en-US"/>
        </w:rPr>
        <w:t>Implantabl</w:t>
      </w:r>
      <w:r w:rsidR="00D3316D" w:rsidRPr="005011B1">
        <w:rPr>
          <w:color w:val="000000"/>
          <w:lang w:val="en-US"/>
        </w:rPr>
        <w:t>e Cardioverter-Defibrillators (</w:t>
      </w:r>
      <w:r w:rsidRPr="005011B1">
        <w:rPr>
          <w:color w:val="000000"/>
          <w:lang w:val="en-US"/>
        </w:rPr>
        <w:t>ICD)</w:t>
      </w:r>
      <w:r w:rsidR="008B6420" w:rsidRPr="005011B1">
        <w:rPr>
          <w:color w:val="000000"/>
          <w:lang w:val="en-US"/>
        </w:rPr>
        <w:t xml:space="preserve"> and Cardiac </w:t>
      </w:r>
      <w:r w:rsidR="000A3FB3" w:rsidRPr="005011B1">
        <w:rPr>
          <w:color w:val="000000"/>
          <w:lang w:val="en-US"/>
        </w:rPr>
        <w:t xml:space="preserve">Resynchronization Therapy Defibrillators (CRT-D) have become a </w:t>
      </w:r>
      <w:r w:rsidR="00A56650" w:rsidRPr="005011B1">
        <w:rPr>
          <w:color w:val="000000"/>
          <w:lang w:val="en-US"/>
        </w:rPr>
        <w:t xml:space="preserve">land-mark </w:t>
      </w:r>
      <w:r w:rsidR="000A3FB3" w:rsidRPr="005011B1">
        <w:rPr>
          <w:color w:val="000000"/>
          <w:lang w:val="en-US"/>
        </w:rPr>
        <w:t>option for the prevention of sudden cardiac death in</w:t>
      </w:r>
      <w:r w:rsidR="00934EAC" w:rsidRPr="005011B1">
        <w:rPr>
          <w:color w:val="000000"/>
          <w:lang w:val="en-US"/>
        </w:rPr>
        <w:t xml:space="preserve"> patients at risk o</w:t>
      </w:r>
      <w:r w:rsidR="00A56650" w:rsidRPr="005011B1">
        <w:rPr>
          <w:color w:val="000000"/>
          <w:lang w:val="en-US"/>
        </w:rPr>
        <w:t>f fatal ventricular arrhythmias</w:t>
      </w:r>
      <w:r w:rsidR="007A778D" w:rsidRPr="005011B1">
        <w:rPr>
          <w:color w:val="000000"/>
          <w:lang w:val="en-US"/>
        </w:rPr>
        <w:t>.</w:t>
      </w:r>
      <w:r w:rsidR="00266AB2" w:rsidRPr="005011B1">
        <w:rPr>
          <w:noProof/>
          <w:color w:val="000000"/>
          <w:vertAlign w:val="superscript"/>
          <w:lang w:val="en-US"/>
        </w:rPr>
        <w:t>1,2</w:t>
      </w:r>
      <w:r w:rsidR="00266AB2" w:rsidRPr="005011B1">
        <w:rPr>
          <w:color w:val="000000"/>
          <w:lang w:val="en-US"/>
        </w:rPr>
        <w:t xml:space="preserve"> </w:t>
      </w:r>
      <w:r w:rsidR="00354E88" w:rsidRPr="005011B1">
        <w:rPr>
          <w:color w:val="000000"/>
          <w:lang w:val="en-US"/>
        </w:rPr>
        <w:t>Registries from clinical practice have confirmed in larger scale the efficacy of ICD therapy in the setting of both primary and secondary prevention</w:t>
      </w:r>
      <w:r w:rsidR="001115B5" w:rsidRPr="005011B1">
        <w:rPr>
          <w:color w:val="000000"/>
          <w:lang w:val="en-US"/>
        </w:rPr>
        <w:t>.</w:t>
      </w:r>
      <w:r w:rsidR="00431D2E" w:rsidRPr="005011B1">
        <w:rPr>
          <w:noProof/>
          <w:color w:val="000000"/>
          <w:vertAlign w:val="superscript"/>
          <w:lang w:val="en-US"/>
        </w:rPr>
        <w:t>3–5</w:t>
      </w:r>
      <w:r w:rsidR="00EB23EC" w:rsidRPr="005011B1">
        <w:rPr>
          <w:color w:val="000000"/>
          <w:lang w:val="en-US"/>
        </w:rPr>
        <w:t xml:space="preserve"> </w:t>
      </w:r>
      <w:r w:rsidR="001E36C7" w:rsidRPr="005011B1">
        <w:rPr>
          <w:color w:val="000000"/>
          <w:lang w:val="en-US"/>
        </w:rPr>
        <w:t>T</w:t>
      </w:r>
      <w:r w:rsidR="002852BA" w:rsidRPr="005011B1">
        <w:rPr>
          <w:color w:val="000000"/>
          <w:lang w:val="en-US"/>
        </w:rPr>
        <w:t xml:space="preserve">he growing mismatch between the </w:t>
      </w:r>
      <w:r w:rsidR="00CE558D">
        <w:rPr>
          <w:color w:val="000000"/>
          <w:lang w:val="en-US"/>
        </w:rPr>
        <w:t>service-life</w:t>
      </w:r>
      <w:r w:rsidR="00CE558D" w:rsidRPr="005011B1">
        <w:rPr>
          <w:color w:val="000000"/>
          <w:lang w:val="en-US"/>
        </w:rPr>
        <w:t xml:space="preserve"> </w:t>
      </w:r>
      <w:r w:rsidR="002852BA" w:rsidRPr="005011B1">
        <w:rPr>
          <w:color w:val="000000"/>
          <w:lang w:val="en-US"/>
        </w:rPr>
        <w:t xml:space="preserve">of the devices and patients’ </w:t>
      </w:r>
      <w:r w:rsidR="00664005" w:rsidRPr="005011B1">
        <w:rPr>
          <w:color w:val="000000"/>
          <w:lang w:val="en-US"/>
        </w:rPr>
        <w:t>survival</w:t>
      </w:r>
      <w:r w:rsidR="002852BA" w:rsidRPr="005011B1">
        <w:rPr>
          <w:color w:val="000000"/>
          <w:lang w:val="en-US"/>
        </w:rPr>
        <w:t xml:space="preserve"> is an already well known issue. </w:t>
      </w:r>
      <w:r w:rsidR="00431D2E" w:rsidRPr="005011B1">
        <w:rPr>
          <w:noProof/>
          <w:color w:val="000000"/>
          <w:vertAlign w:val="superscript"/>
          <w:lang w:val="en-US"/>
        </w:rPr>
        <w:t>6</w:t>
      </w:r>
      <w:r w:rsidR="00664005" w:rsidRPr="005011B1">
        <w:rPr>
          <w:color w:val="000000"/>
          <w:lang w:val="en-US"/>
        </w:rPr>
        <w:t xml:space="preserve"> </w:t>
      </w:r>
      <w:r w:rsidR="008A0901" w:rsidRPr="005011B1">
        <w:rPr>
          <w:color w:val="000000"/>
          <w:lang w:val="en-US"/>
        </w:rPr>
        <w:t>Moreover, previous single and few-</w:t>
      </w:r>
      <w:r w:rsidR="00191368" w:rsidRPr="005011B1">
        <w:rPr>
          <w:color w:val="000000"/>
          <w:lang w:val="en-US"/>
        </w:rPr>
        <w:t>center</w:t>
      </w:r>
      <w:r w:rsidR="00191368">
        <w:rPr>
          <w:color w:val="000000"/>
          <w:lang w:val="en-US"/>
        </w:rPr>
        <w:t>s</w:t>
      </w:r>
      <w:r w:rsidR="008A0901" w:rsidRPr="005011B1">
        <w:rPr>
          <w:color w:val="000000"/>
          <w:lang w:val="en-US"/>
        </w:rPr>
        <w:t xml:space="preserve"> studies demonstrated highly variable ICD longevity according to device manufacturers. </w:t>
      </w:r>
      <w:r w:rsidR="00431D2E" w:rsidRPr="005011B1">
        <w:rPr>
          <w:noProof/>
          <w:color w:val="000000"/>
          <w:vertAlign w:val="superscript"/>
          <w:lang w:val="en-US"/>
        </w:rPr>
        <w:t>7–11</w:t>
      </w:r>
      <w:r w:rsidR="00EB23EC" w:rsidRPr="005011B1">
        <w:rPr>
          <w:color w:val="000000"/>
          <w:lang w:val="en-US"/>
        </w:rPr>
        <w:t xml:space="preserve"> </w:t>
      </w:r>
      <w:r w:rsidR="00664005" w:rsidRPr="005011B1">
        <w:rPr>
          <w:color w:val="000000"/>
          <w:lang w:val="en-US"/>
        </w:rPr>
        <w:t xml:space="preserve">Technology improvements, </w:t>
      </w:r>
      <w:proofErr w:type="gramStart"/>
      <w:r w:rsidR="00664005" w:rsidRPr="005011B1">
        <w:rPr>
          <w:color w:val="000000"/>
          <w:lang w:val="en-US"/>
        </w:rPr>
        <w:t>in particular on</w:t>
      </w:r>
      <w:proofErr w:type="gramEnd"/>
      <w:r w:rsidR="00664005" w:rsidRPr="005011B1">
        <w:rPr>
          <w:color w:val="000000"/>
          <w:lang w:val="en-US"/>
        </w:rPr>
        <w:t xml:space="preserve"> the front of battery longevity, have tried to </w:t>
      </w:r>
      <w:r w:rsidR="00576F4D" w:rsidRPr="005011B1">
        <w:rPr>
          <w:color w:val="000000"/>
          <w:lang w:val="en-US"/>
        </w:rPr>
        <w:t xml:space="preserve">solve </w:t>
      </w:r>
      <w:r w:rsidR="00664005" w:rsidRPr="005011B1">
        <w:rPr>
          <w:color w:val="000000"/>
          <w:lang w:val="en-US"/>
        </w:rPr>
        <w:t>the problem</w:t>
      </w:r>
      <w:r w:rsidR="003B5B45" w:rsidRPr="005011B1">
        <w:rPr>
          <w:color w:val="000000"/>
          <w:lang w:val="en-US"/>
        </w:rPr>
        <w:t>,</w:t>
      </w:r>
      <w:r w:rsidR="00D3316D" w:rsidRPr="005011B1">
        <w:rPr>
          <w:color w:val="000000"/>
          <w:lang w:val="en-US"/>
        </w:rPr>
        <w:t xml:space="preserve"> but </w:t>
      </w:r>
      <w:r w:rsidR="00981260" w:rsidRPr="005011B1">
        <w:rPr>
          <w:color w:val="000000"/>
          <w:lang w:val="en-US"/>
        </w:rPr>
        <w:t xml:space="preserve">ICD and CRT-D </w:t>
      </w:r>
      <w:r w:rsidR="009E207D" w:rsidRPr="005011B1">
        <w:rPr>
          <w:color w:val="000000"/>
          <w:lang w:val="en-US"/>
        </w:rPr>
        <w:t>service-life</w:t>
      </w:r>
      <w:r w:rsidR="00981260" w:rsidRPr="005011B1">
        <w:rPr>
          <w:color w:val="000000"/>
          <w:lang w:val="en-US"/>
        </w:rPr>
        <w:t xml:space="preserve"> </w:t>
      </w:r>
      <w:r w:rsidR="00A56650" w:rsidRPr="005011B1">
        <w:rPr>
          <w:color w:val="000000"/>
          <w:lang w:val="en-US"/>
        </w:rPr>
        <w:t>may</w:t>
      </w:r>
      <w:r w:rsidR="00402E01" w:rsidRPr="005011B1">
        <w:rPr>
          <w:color w:val="000000"/>
          <w:lang w:val="en-US"/>
        </w:rPr>
        <w:t xml:space="preserve"> still</w:t>
      </w:r>
      <w:r w:rsidR="00A56650" w:rsidRPr="005011B1">
        <w:rPr>
          <w:color w:val="000000"/>
          <w:lang w:val="en-US"/>
        </w:rPr>
        <w:t xml:space="preserve"> be</w:t>
      </w:r>
      <w:r w:rsidR="007A778D" w:rsidRPr="005011B1">
        <w:rPr>
          <w:color w:val="000000"/>
          <w:lang w:val="en-US"/>
        </w:rPr>
        <w:t xml:space="preserve"> </w:t>
      </w:r>
      <w:r w:rsidR="00BA32C6" w:rsidRPr="005011B1">
        <w:rPr>
          <w:color w:val="000000"/>
          <w:lang w:val="en-US"/>
        </w:rPr>
        <w:t>shorter</w:t>
      </w:r>
      <w:r w:rsidR="00981260" w:rsidRPr="005011B1">
        <w:rPr>
          <w:color w:val="000000"/>
          <w:lang w:val="en-US"/>
        </w:rPr>
        <w:t xml:space="preserve"> than patients’ </w:t>
      </w:r>
      <w:r w:rsidR="00BA32C6" w:rsidRPr="005011B1">
        <w:rPr>
          <w:color w:val="000000"/>
          <w:lang w:val="en-US"/>
        </w:rPr>
        <w:t xml:space="preserve">average </w:t>
      </w:r>
      <w:r w:rsidR="00981260" w:rsidRPr="005011B1">
        <w:rPr>
          <w:color w:val="000000"/>
          <w:lang w:val="en-US"/>
        </w:rPr>
        <w:t>survival</w:t>
      </w:r>
      <w:r w:rsidR="005D0019" w:rsidRPr="005011B1">
        <w:rPr>
          <w:color w:val="000000"/>
          <w:lang w:val="en-US"/>
        </w:rPr>
        <w:t xml:space="preserve">. This implies the </w:t>
      </w:r>
      <w:r w:rsidR="00BA32C6" w:rsidRPr="005011B1">
        <w:rPr>
          <w:color w:val="000000"/>
          <w:lang w:val="en-US"/>
        </w:rPr>
        <w:t>need</w:t>
      </w:r>
      <w:r w:rsidR="005D0019" w:rsidRPr="005011B1">
        <w:rPr>
          <w:color w:val="000000"/>
          <w:lang w:val="en-US"/>
        </w:rPr>
        <w:t xml:space="preserve"> of generators’ </w:t>
      </w:r>
      <w:r w:rsidR="00E310FC" w:rsidRPr="005011B1">
        <w:rPr>
          <w:color w:val="000000"/>
          <w:lang w:val="en-US"/>
        </w:rPr>
        <w:t>replacement</w:t>
      </w:r>
      <w:r w:rsidR="005D0019" w:rsidRPr="005011B1">
        <w:rPr>
          <w:color w:val="000000"/>
          <w:lang w:val="en-US"/>
        </w:rPr>
        <w:t>s, which entail</w:t>
      </w:r>
      <w:r w:rsidR="00D323B4" w:rsidRPr="005011B1">
        <w:rPr>
          <w:color w:val="000000"/>
          <w:lang w:val="en-US"/>
        </w:rPr>
        <w:t>s</w:t>
      </w:r>
      <w:r w:rsidR="005D0019" w:rsidRPr="005011B1">
        <w:rPr>
          <w:color w:val="000000"/>
          <w:lang w:val="en-US"/>
        </w:rPr>
        <w:t xml:space="preserve"> the risk of </w:t>
      </w:r>
      <w:r w:rsidR="004D696E" w:rsidRPr="005011B1">
        <w:rPr>
          <w:color w:val="000000"/>
          <w:lang w:val="en-US"/>
        </w:rPr>
        <w:t xml:space="preserve">peri-procedural </w:t>
      </w:r>
      <w:r w:rsidR="005D0019" w:rsidRPr="005011B1">
        <w:rPr>
          <w:color w:val="000000"/>
          <w:lang w:val="en-US"/>
        </w:rPr>
        <w:t>complications</w:t>
      </w:r>
      <w:r w:rsidR="003162EC" w:rsidRPr="005011B1">
        <w:rPr>
          <w:color w:val="000000"/>
          <w:lang w:val="en-US"/>
        </w:rPr>
        <w:t xml:space="preserve"> </w:t>
      </w:r>
      <w:r w:rsidR="004D696E" w:rsidRPr="005011B1">
        <w:rPr>
          <w:color w:val="000000"/>
          <w:lang w:val="en-US"/>
        </w:rPr>
        <w:t xml:space="preserve">(damage of the leads, bleeding and infections) </w:t>
      </w:r>
      <w:r w:rsidR="003162EC" w:rsidRPr="005011B1">
        <w:rPr>
          <w:color w:val="000000"/>
          <w:lang w:val="en-US"/>
        </w:rPr>
        <w:t>and negatively impact</w:t>
      </w:r>
      <w:r w:rsidR="00D323B4" w:rsidRPr="005011B1">
        <w:rPr>
          <w:color w:val="000000"/>
          <w:lang w:val="en-US"/>
        </w:rPr>
        <w:t>s</w:t>
      </w:r>
      <w:r w:rsidR="003162EC" w:rsidRPr="005011B1">
        <w:rPr>
          <w:color w:val="000000"/>
          <w:lang w:val="en-US"/>
        </w:rPr>
        <w:t xml:space="preserve"> on the cost-efficacy of the devices.</w:t>
      </w:r>
      <w:r w:rsidR="00FC6E75" w:rsidRPr="005011B1">
        <w:rPr>
          <w:noProof/>
          <w:color w:val="000000"/>
          <w:vertAlign w:val="superscript"/>
          <w:lang w:val="en-US"/>
        </w:rPr>
        <w:t>12–16</w:t>
      </w:r>
      <w:r w:rsidR="006B2CD4" w:rsidRPr="005011B1">
        <w:rPr>
          <w:color w:val="000000"/>
          <w:lang w:val="en-US"/>
        </w:rPr>
        <w:t xml:space="preserve"> </w:t>
      </w:r>
    </w:p>
    <w:p w14:paraId="411B1AE6" w14:textId="77777777" w:rsidR="00664005" w:rsidRPr="005011B1" w:rsidRDefault="00EE2A68" w:rsidP="00795821">
      <w:pPr>
        <w:spacing w:line="480" w:lineRule="auto"/>
        <w:rPr>
          <w:color w:val="000000"/>
          <w:lang w:val="en-US"/>
        </w:rPr>
      </w:pPr>
      <w:r w:rsidRPr="005011B1">
        <w:rPr>
          <w:color w:val="000000"/>
          <w:lang w:val="en-US"/>
        </w:rPr>
        <w:t xml:space="preserve">The aim of this study </w:t>
      </w:r>
      <w:r w:rsidR="004D696E" w:rsidRPr="005011B1">
        <w:rPr>
          <w:color w:val="000000"/>
          <w:lang w:val="en-US"/>
        </w:rPr>
        <w:t>was</w:t>
      </w:r>
      <w:r w:rsidRPr="005011B1">
        <w:rPr>
          <w:color w:val="000000"/>
          <w:lang w:val="en-US"/>
        </w:rPr>
        <w:t xml:space="preserve"> to </w:t>
      </w:r>
      <w:r w:rsidR="004D696E" w:rsidRPr="005011B1">
        <w:rPr>
          <w:color w:val="000000"/>
          <w:lang w:val="en-US"/>
        </w:rPr>
        <w:t xml:space="preserve">estimate </w:t>
      </w:r>
      <w:r w:rsidR="008A2E77" w:rsidRPr="005011B1">
        <w:rPr>
          <w:color w:val="000000"/>
          <w:lang w:val="en-US"/>
        </w:rPr>
        <w:t xml:space="preserve">over a </w:t>
      </w:r>
      <w:r w:rsidR="003E344A" w:rsidRPr="005011B1">
        <w:rPr>
          <w:color w:val="000000"/>
          <w:lang w:val="en-US"/>
        </w:rPr>
        <w:t>ten-year</w:t>
      </w:r>
      <w:r w:rsidR="008A2E77" w:rsidRPr="005011B1">
        <w:rPr>
          <w:color w:val="000000"/>
          <w:lang w:val="en-US"/>
        </w:rPr>
        <w:t xml:space="preserve"> interval </w:t>
      </w:r>
      <w:r w:rsidR="004D696E" w:rsidRPr="005011B1">
        <w:rPr>
          <w:color w:val="000000"/>
          <w:lang w:val="en-US"/>
        </w:rPr>
        <w:t xml:space="preserve">the </w:t>
      </w:r>
      <w:r w:rsidR="008A2E77" w:rsidRPr="005011B1">
        <w:rPr>
          <w:color w:val="000000"/>
          <w:lang w:val="en-US"/>
        </w:rPr>
        <w:t xml:space="preserve">trend of </w:t>
      </w:r>
      <w:r w:rsidR="00057555" w:rsidRPr="005011B1">
        <w:rPr>
          <w:color w:val="000000"/>
          <w:lang w:val="en-US"/>
        </w:rPr>
        <w:t>service-life</w:t>
      </w:r>
      <w:r w:rsidR="00D323B4" w:rsidRPr="005011B1">
        <w:rPr>
          <w:color w:val="000000"/>
          <w:lang w:val="en-US"/>
        </w:rPr>
        <w:t xml:space="preserve"> </w:t>
      </w:r>
      <w:r w:rsidR="00D3316D" w:rsidRPr="005011B1">
        <w:rPr>
          <w:color w:val="000000"/>
          <w:lang w:val="en-US"/>
        </w:rPr>
        <w:t xml:space="preserve">of </w:t>
      </w:r>
      <w:r w:rsidR="004D696E" w:rsidRPr="005011B1">
        <w:rPr>
          <w:color w:val="000000"/>
          <w:lang w:val="en-US"/>
        </w:rPr>
        <w:t xml:space="preserve">ICD and CRT-D generators, </w:t>
      </w:r>
      <w:r w:rsidR="00D323B4" w:rsidRPr="005011B1">
        <w:rPr>
          <w:color w:val="000000"/>
          <w:lang w:val="en-US"/>
        </w:rPr>
        <w:t xml:space="preserve">which also reflects device </w:t>
      </w:r>
      <w:r w:rsidR="00203038" w:rsidRPr="005011B1">
        <w:rPr>
          <w:color w:val="000000"/>
          <w:lang w:val="en-US"/>
        </w:rPr>
        <w:t>longevity</w:t>
      </w:r>
      <w:r w:rsidR="008A2E77" w:rsidRPr="005011B1">
        <w:rPr>
          <w:color w:val="000000"/>
          <w:lang w:val="en-US"/>
        </w:rPr>
        <w:t>,</w:t>
      </w:r>
      <w:r w:rsidR="00203038" w:rsidRPr="005011B1">
        <w:rPr>
          <w:color w:val="000000"/>
          <w:lang w:val="en-US"/>
        </w:rPr>
        <w:t xml:space="preserve"> and</w:t>
      </w:r>
      <w:r w:rsidR="004D696E" w:rsidRPr="005011B1">
        <w:rPr>
          <w:color w:val="000000"/>
          <w:lang w:val="en-US"/>
        </w:rPr>
        <w:t xml:space="preserve"> to </w:t>
      </w:r>
      <w:r w:rsidR="008A2E77" w:rsidRPr="005011B1">
        <w:rPr>
          <w:color w:val="000000"/>
          <w:lang w:val="en-US"/>
        </w:rPr>
        <w:t xml:space="preserve">evaluate </w:t>
      </w:r>
      <w:r w:rsidR="004D696E" w:rsidRPr="005011B1">
        <w:rPr>
          <w:color w:val="000000"/>
          <w:lang w:val="en-US"/>
        </w:rPr>
        <w:t xml:space="preserve">the </w:t>
      </w:r>
      <w:r w:rsidR="001B7E71" w:rsidRPr="005011B1">
        <w:rPr>
          <w:color w:val="000000"/>
          <w:lang w:val="en-US"/>
        </w:rPr>
        <w:t>main causes</w:t>
      </w:r>
      <w:r w:rsidR="004D696E" w:rsidRPr="005011B1">
        <w:rPr>
          <w:color w:val="000000"/>
          <w:lang w:val="en-US"/>
        </w:rPr>
        <w:t xml:space="preserve"> of </w:t>
      </w:r>
      <w:r w:rsidR="001B7E71" w:rsidRPr="005011B1">
        <w:rPr>
          <w:color w:val="000000"/>
          <w:lang w:val="en-US"/>
        </w:rPr>
        <w:t>replacement</w:t>
      </w:r>
      <w:r w:rsidR="004D696E" w:rsidRPr="005011B1">
        <w:rPr>
          <w:color w:val="000000"/>
          <w:lang w:val="en-US"/>
        </w:rPr>
        <w:t xml:space="preserve"> </w:t>
      </w:r>
      <w:r w:rsidR="00203038" w:rsidRPr="005011B1">
        <w:rPr>
          <w:color w:val="000000"/>
          <w:lang w:val="en-US"/>
        </w:rPr>
        <w:t xml:space="preserve">on the basis of data from </w:t>
      </w:r>
      <w:r w:rsidR="006066EB" w:rsidRPr="005011B1">
        <w:rPr>
          <w:color w:val="000000"/>
          <w:lang w:val="en-US"/>
        </w:rPr>
        <w:t xml:space="preserve">the National ICD Registry of the Italian Society of </w:t>
      </w:r>
      <w:proofErr w:type="spellStart"/>
      <w:r w:rsidR="006066EB" w:rsidRPr="005011B1">
        <w:rPr>
          <w:color w:val="000000"/>
          <w:lang w:val="en-US"/>
        </w:rPr>
        <w:t>Arrhythmology</w:t>
      </w:r>
      <w:proofErr w:type="spellEnd"/>
      <w:r w:rsidR="006066EB" w:rsidRPr="005011B1">
        <w:rPr>
          <w:color w:val="000000"/>
          <w:lang w:val="en-US"/>
        </w:rPr>
        <w:t xml:space="preserve"> and Cardiac Pacing (AIAC), which </w:t>
      </w:r>
      <w:r w:rsidR="00D3316D" w:rsidRPr="005011B1">
        <w:rPr>
          <w:color w:val="000000"/>
          <w:lang w:val="en-US"/>
        </w:rPr>
        <w:t xml:space="preserve">regularly </w:t>
      </w:r>
      <w:r w:rsidR="006066EB" w:rsidRPr="005011B1">
        <w:rPr>
          <w:color w:val="000000"/>
          <w:lang w:val="en-US"/>
        </w:rPr>
        <w:t>collects</w:t>
      </w:r>
      <w:r w:rsidR="008A2E77" w:rsidRPr="005011B1">
        <w:rPr>
          <w:color w:val="000000"/>
          <w:lang w:val="en-US"/>
        </w:rPr>
        <w:t xml:space="preserve"> main technical and clinical information </w:t>
      </w:r>
      <w:r w:rsidR="006066EB" w:rsidRPr="005011B1">
        <w:rPr>
          <w:color w:val="000000"/>
          <w:lang w:val="en-US"/>
        </w:rPr>
        <w:t xml:space="preserve"> on all the</w:t>
      </w:r>
      <w:r w:rsidR="001676C0" w:rsidRPr="005011B1">
        <w:rPr>
          <w:color w:val="000000"/>
          <w:lang w:val="en-US"/>
        </w:rPr>
        <w:t xml:space="preserve"> </w:t>
      </w:r>
      <w:r w:rsidR="006066EB" w:rsidRPr="005011B1">
        <w:rPr>
          <w:color w:val="000000"/>
          <w:lang w:val="en-US"/>
        </w:rPr>
        <w:t>ICD and CRT-D implantation</w:t>
      </w:r>
      <w:r w:rsidR="009274EF" w:rsidRPr="005011B1">
        <w:rPr>
          <w:color w:val="000000"/>
          <w:lang w:val="en-US"/>
        </w:rPr>
        <w:t>s</w:t>
      </w:r>
      <w:r w:rsidR="006066EB" w:rsidRPr="005011B1">
        <w:rPr>
          <w:color w:val="000000"/>
          <w:lang w:val="en-US"/>
        </w:rPr>
        <w:t xml:space="preserve"> performed in the vast majority of Italian Hospitals</w:t>
      </w:r>
      <w:r w:rsidR="005F1168" w:rsidRPr="005011B1">
        <w:rPr>
          <w:color w:val="000000"/>
          <w:lang w:val="en-US"/>
        </w:rPr>
        <w:t>.</w:t>
      </w:r>
    </w:p>
    <w:p w14:paraId="47E3CFFB" w14:textId="77777777" w:rsidR="00EB571B" w:rsidRPr="005011B1" w:rsidRDefault="005932A2" w:rsidP="00795821">
      <w:pPr>
        <w:spacing w:line="480" w:lineRule="auto"/>
        <w:rPr>
          <w:color w:val="000000"/>
          <w:lang w:val="en-US"/>
        </w:rPr>
      </w:pPr>
      <w:r w:rsidRPr="005011B1">
        <w:rPr>
          <w:color w:val="000000"/>
          <w:lang w:val="en-US"/>
        </w:rPr>
        <w:t>MATERIALS AND METHODS</w:t>
      </w:r>
    </w:p>
    <w:p w14:paraId="09AEB5A4" w14:textId="56AA08B8" w:rsidR="00EB571B" w:rsidRPr="00B81699" w:rsidRDefault="00EB571B" w:rsidP="456EB3F9">
      <w:pPr>
        <w:spacing w:line="480" w:lineRule="auto"/>
        <w:rPr>
          <w:color w:val="FF0000"/>
          <w:lang w:val="en-US"/>
        </w:rPr>
      </w:pPr>
      <w:r w:rsidRPr="005011B1">
        <w:rPr>
          <w:color w:val="000000"/>
          <w:lang w:val="en-US"/>
        </w:rPr>
        <w:t xml:space="preserve">We included all patients from the </w:t>
      </w:r>
      <w:r w:rsidR="007108E5" w:rsidRPr="005011B1">
        <w:rPr>
          <w:color w:val="000000"/>
          <w:lang w:val="en-US"/>
        </w:rPr>
        <w:t>Italian</w:t>
      </w:r>
      <w:r w:rsidRPr="005011B1">
        <w:rPr>
          <w:color w:val="000000"/>
          <w:lang w:val="en-US"/>
        </w:rPr>
        <w:t xml:space="preserve"> National ICD Registry who underwent</w:t>
      </w:r>
      <w:r w:rsidR="00025EFD" w:rsidRPr="005011B1">
        <w:rPr>
          <w:color w:val="000000"/>
          <w:lang w:val="en-US"/>
        </w:rPr>
        <w:t xml:space="preserve"> device</w:t>
      </w:r>
      <w:r w:rsidRPr="005011B1">
        <w:rPr>
          <w:color w:val="000000"/>
          <w:lang w:val="en-US"/>
        </w:rPr>
        <w:t xml:space="preserve"> </w:t>
      </w:r>
      <w:r w:rsidR="00CE659D" w:rsidRPr="005011B1">
        <w:rPr>
          <w:color w:val="000000"/>
          <w:lang w:val="en-US"/>
        </w:rPr>
        <w:t>replacement of</w:t>
      </w:r>
      <w:r w:rsidRPr="005011B1">
        <w:rPr>
          <w:color w:val="000000"/>
          <w:lang w:val="en-US"/>
        </w:rPr>
        <w:t xml:space="preserve"> the</w:t>
      </w:r>
      <w:r w:rsidR="007108E5" w:rsidRPr="005011B1">
        <w:rPr>
          <w:color w:val="000000"/>
          <w:lang w:val="en-US"/>
        </w:rPr>
        <w:t xml:space="preserve"> </w:t>
      </w:r>
      <w:r w:rsidRPr="005011B1">
        <w:rPr>
          <w:color w:val="000000"/>
          <w:lang w:val="en-US"/>
        </w:rPr>
        <w:t>ICD</w:t>
      </w:r>
      <w:r w:rsidR="00530308" w:rsidRPr="005011B1">
        <w:rPr>
          <w:color w:val="000000"/>
          <w:lang w:val="en-US"/>
        </w:rPr>
        <w:t>/</w:t>
      </w:r>
      <w:r w:rsidRPr="005011B1">
        <w:rPr>
          <w:color w:val="000000"/>
          <w:lang w:val="en-US"/>
        </w:rPr>
        <w:t xml:space="preserve">CRT-D from Calendar 2007 to Calendar 2016 years. </w:t>
      </w:r>
      <w:r w:rsidR="00546101" w:rsidRPr="009A3D00">
        <w:rPr>
          <w:color w:val="000000" w:themeColor="text1"/>
          <w:lang w:val="en-US"/>
        </w:rPr>
        <w:t>Along all the period</w:t>
      </w:r>
      <w:r w:rsidR="00546101">
        <w:rPr>
          <w:color w:val="000000"/>
          <w:lang w:val="en-US"/>
        </w:rPr>
        <w:t xml:space="preserve"> t</w:t>
      </w:r>
      <w:r w:rsidR="00170B7B" w:rsidRPr="005011B1">
        <w:rPr>
          <w:color w:val="000000"/>
          <w:lang w:val="en-US"/>
        </w:rPr>
        <w:t xml:space="preserve">he main indications to replacement were explored according to </w:t>
      </w:r>
      <w:r w:rsidR="008925A3" w:rsidRPr="005011B1">
        <w:rPr>
          <w:color w:val="000000"/>
          <w:lang w:val="en-US"/>
        </w:rPr>
        <w:t>the European Patient-Implantable Cardioverter/Defibrillator Identification Card (EURID</w:t>
      </w:r>
      <w:r w:rsidR="00D76D44" w:rsidRPr="005011B1">
        <w:rPr>
          <w:color w:val="000000"/>
          <w:lang w:val="en-US"/>
        </w:rPr>
        <w:t xml:space="preserve">) </w:t>
      </w:r>
      <w:r w:rsidR="00170B7B" w:rsidRPr="005011B1">
        <w:rPr>
          <w:color w:val="000000"/>
          <w:lang w:val="en-US"/>
        </w:rPr>
        <w:t>form</w:t>
      </w:r>
      <w:r w:rsidR="007A778D" w:rsidRPr="005011B1">
        <w:rPr>
          <w:color w:val="000000"/>
          <w:lang w:val="en-US"/>
        </w:rPr>
        <w:t>.</w:t>
      </w:r>
      <w:r w:rsidR="002D6479" w:rsidRPr="005011B1">
        <w:rPr>
          <w:noProof/>
          <w:color w:val="000000"/>
          <w:vertAlign w:val="superscript"/>
          <w:lang w:val="en-US"/>
        </w:rPr>
        <w:t>17–19</w:t>
      </w:r>
      <w:r w:rsidR="456EB3F9" w:rsidRPr="00B81699">
        <w:rPr>
          <w:color w:val="FF0000"/>
          <w:lang w:val="en-US"/>
        </w:rPr>
        <w:t xml:space="preserve"> </w:t>
      </w:r>
    </w:p>
    <w:p w14:paraId="0E7B05CF" w14:textId="77777777" w:rsidR="00EB571B" w:rsidRPr="005011B1" w:rsidRDefault="00EB571B" w:rsidP="00795821">
      <w:pPr>
        <w:spacing w:line="480" w:lineRule="auto"/>
        <w:rPr>
          <w:color w:val="000000"/>
          <w:lang w:val="en-US"/>
        </w:rPr>
      </w:pPr>
      <w:r w:rsidRPr="005011B1">
        <w:rPr>
          <w:color w:val="000000"/>
          <w:lang w:val="en-US"/>
        </w:rPr>
        <w:lastRenderedPageBreak/>
        <w:t xml:space="preserve">The mean duration from implantation to </w:t>
      </w:r>
      <w:r w:rsidR="00076694" w:rsidRPr="005011B1">
        <w:rPr>
          <w:color w:val="000000"/>
          <w:lang w:val="en-US"/>
        </w:rPr>
        <w:t>replacement was</w:t>
      </w:r>
      <w:r w:rsidRPr="005011B1">
        <w:rPr>
          <w:color w:val="000000"/>
          <w:lang w:val="en-US"/>
        </w:rPr>
        <w:t xml:space="preserve"> calculated subdividing the patients accordi</w:t>
      </w:r>
      <w:r w:rsidR="00CA339E" w:rsidRPr="005011B1">
        <w:rPr>
          <w:color w:val="000000"/>
          <w:lang w:val="en-US"/>
        </w:rPr>
        <w:t>ng to device characteristics (VR-ICD</w:t>
      </w:r>
      <w:r w:rsidRPr="005011B1">
        <w:rPr>
          <w:color w:val="000000"/>
          <w:lang w:val="en-US"/>
        </w:rPr>
        <w:t xml:space="preserve">, </w:t>
      </w:r>
      <w:r w:rsidR="00CA339E" w:rsidRPr="005011B1">
        <w:rPr>
          <w:color w:val="000000"/>
          <w:lang w:val="en-US"/>
        </w:rPr>
        <w:t>DR-</w:t>
      </w:r>
      <w:r w:rsidR="00076694" w:rsidRPr="005011B1">
        <w:rPr>
          <w:color w:val="000000"/>
          <w:lang w:val="en-US"/>
        </w:rPr>
        <w:t>ICD or</w:t>
      </w:r>
      <w:r w:rsidRPr="005011B1">
        <w:rPr>
          <w:color w:val="000000"/>
          <w:lang w:val="en-US"/>
        </w:rPr>
        <w:t xml:space="preserve"> CRT-D), indications to implantation (primary or secondary prevention) and year of </w:t>
      </w:r>
      <w:r w:rsidR="00025EFD" w:rsidRPr="005011B1">
        <w:rPr>
          <w:color w:val="000000"/>
          <w:lang w:val="en-US"/>
        </w:rPr>
        <w:t xml:space="preserve">device </w:t>
      </w:r>
      <w:r w:rsidR="007108E5" w:rsidRPr="005011B1">
        <w:rPr>
          <w:color w:val="000000"/>
          <w:lang w:val="en-US"/>
        </w:rPr>
        <w:t>replacement</w:t>
      </w:r>
      <w:r w:rsidRPr="005011B1">
        <w:rPr>
          <w:color w:val="000000"/>
          <w:lang w:val="en-US"/>
        </w:rPr>
        <w:t>.</w:t>
      </w:r>
      <w:r w:rsidR="002A607A" w:rsidRPr="005011B1">
        <w:rPr>
          <w:color w:val="000000"/>
          <w:lang w:val="en-US"/>
        </w:rPr>
        <w:t xml:space="preserve"> </w:t>
      </w:r>
    </w:p>
    <w:p w14:paraId="209A96A4" w14:textId="77777777" w:rsidR="00814C0A" w:rsidRPr="005011B1" w:rsidRDefault="00EB571B" w:rsidP="456EB3F9">
      <w:pPr>
        <w:spacing w:line="480" w:lineRule="auto"/>
        <w:rPr>
          <w:color w:val="000000"/>
          <w:vertAlign w:val="subscript"/>
          <w:lang w:val="en-US"/>
        </w:rPr>
      </w:pPr>
      <w:r w:rsidRPr="005011B1">
        <w:rPr>
          <w:color w:val="000000"/>
          <w:lang w:val="en-US"/>
        </w:rPr>
        <w:t xml:space="preserve">The </w:t>
      </w:r>
      <w:r w:rsidR="00E310FC" w:rsidRPr="005011B1">
        <w:rPr>
          <w:color w:val="000000"/>
          <w:lang w:val="en-US"/>
        </w:rPr>
        <w:t>Italian</w:t>
      </w:r>
      <w:r w:rsidRPr="005011B1">
        <w:rPr>
          <w:color w:val="000000"/>
          <w:lang w:val="en-US"/>
        </w:rPr>
        <w:t xml:space="preserve"> National ICD Registry is</w:t>
      </w:r>
      <w:r w:rsidR="002A607A" w:rsidRPr="005011B1">
        <w:rPr>
          <w:color w:val="000000"/>
          <w:lang w:val="en-US"/>
        </w:rPr>
        <w:t xml:space="preserve"> a </w:t>
      </w:r>
      <w:r w:rsidR="0041685B" w:rsidRPr="005011B1">
        <w:rPr>
          <w:color w:val="000000"/>
          <w:lang w:val="en-US"/>
        </w:rPr>
        <w:t xml:space="preserve">centrally held </w:t>
      </w:r>
      <w:r w:rsidR="002A607A" w:rsidRPr="005011B1">
        <w:rPr>
          <w:color w:val="000000"/>
          <w:lang w:val="en-US"/>
        </w:rPr>
        <w:t xml:space="preserve">database </w:t>
      </w:r>
      <w:r w:rsidR="00467845" w:rsidRPr="005011B1">
        <w:rPr>
          <w:color w:val="000000"/>
          <w:lang w:val="en-US"/>
        </w:rPr>
        <w:t xml:space="preserve">to which all participating </w:t>
      </w:r>
      <w:r w:rsidR="00E63758" w:rsidRPr="005011B1">
        <w:rPr>
          <w:color w:val="000000"/>
          <w:lang w:val="en-US"/>
        </w:rPr>
        <w:t>centers</w:t>
      </w:r>
      <w:r w:rsidR="00467845" w:rsidRPr="005011B1">
        <w:rPr>
          <w:color w:val="000000"/>
          <w:lang w:val="en-US"/>
        </w:rPr>
        <w:t xml:space="preserve"> (</w:t>
      </w:r>
      <w:r w:rsidR="00E310FC" w:rsidRPr="005011B1">
        <w:rPr>
          <w:color w:val="000000"/>
          <w:lang w:val="en-US"/>
        </w:rPr>
        <w:t>over 400</w:t>
      </w:r>
      <w:r w:rsidR="00EC6293" w:rsidRPr="005011B1">
        <w:rPr>
          <w:color w:val="000000"/>
          <w:lang w:val="en-US"/>
        </w:rPr>
        <w:t xml:space="preserve"> hospitals which</w:t>
      </w:r>
      <w:r w:rsidR="00CE4946" w:rsidRPr="005011B1">
        <w:rPr>
          <w:color w:val="000000"/>
          <w:lang w:val="en-US"/>
        </w:rPr>
        <w:t xml:space="preserve"> perform about 95% of </w:t>
      </w:r>
      <w:r w:rsidR="00EC6293" w:rsidRPr="005011B1">
        <w:rPr>
          <w:color w:val="000000"/>
          <w:lang w:val="en-US"/>
        </w:rPr>
        <w:t>ICD/CRT-D implantations in Italy</w:t>
      </w:r>
      <w:r w:rsidR="00467845" w:rsidRPr="005011B1">
        <w:rPr>
          <w:color w:val="000000"/>
          <w:lang w:val="en-US"/>
        </w:rPr>
        <w:t xml:space="preserve">) </w:t>
      </w:r>
      <w:r w:rsidR="0041685B" w:rsidRPr="005011B1">
        <w:rPr>
          <w:color w:val="000000"/>
          <w:lang w:val="en-US"/>
        </w:rPr>
        <w:t>voluntary provide</w:t>
      </w:r>
      <w:r w:rsidR="00EC6293" w:rsidRPr="005011B1">
        <w:rPr>
          <w:color w:val="000000"/>
          <w:lang w:val="en-US"/>
        </w:rPr>
        <w:t xml:space="preserve"> clinical and technical data on every patient and device implanted. </w:t>
      </w:r>
      <w:r w:rsidR="00704451" w:rsidRPr="00B81699">
        <w:rPr>
          <w:noProof/>
          <w:vertAlign w:val="superscript"/>
          <w:lang w:val="en-US"/>
        </w:rPr>
        <w:t>17,19</w:t>
      </w:r>
    </w:p>
    <w:p w14:paraId="6591CD25" w14:textId="4899244F" w:rsidR="00EC6293" w:rsidRPr="005011B1" w:rsidRDefault="00EC6293" w:rsidP="00795821">
      <w:pPr>
        <w:spacing w:line="480" w:lineRule="auto"/>
        <w:rPr>
          <w:color w:val="000000"/>
          <w:lang w:val="en-US"/>
        </w:rPr>
      </w:pPr>
      <w:r w:rsidRPr="005011B1">
        <w:rPr>
          <w:color w:val="000000"/>
          <w:lang w:val="en-US"/>
        </w:rPr>
        <w:t>Data are reported in the registry using EURID implant forms and retrieved by mail after implantation</w:t>
      </w:r>
      <w:r w:rsidR="00025EFD" w:rsidRPr="005011B1">
        <w:rPr>
          <w:color w:val="000000"/>
          <w:lang w:val="en-US"/>
        </w:rPr>
        <w:t>, replacement</w:t>
      </w:r>
      <w:r w:rsidRPr="005011B1">
        <w:rPr>
          <w:color w:val="000000"/>
          <w:lang w:val="en-US"/>
        </w:rPr>
        <w:t xml:space="preserve"> and explantation procedures.</w:t>
      </w:r>
      <w:r w:rsidR="00F6599B" w:rsidRPr="005011B1">
        <w:rPr>
          <w:color w:val="000000"/>
          <w:lang w:val="en-US"/>
        </w:rPr>
        <w:t xml:space="preserve"> Validation of data is performed using a two-step protocol: first, at the time of data entry, data are checked for formal consistency, and then, at the time when the annual report is performed, data are evaluated for internal consistency.</w:t>
      </w:r>
      <w:r w:rsidR="004046EA">
        <w:rPr>
          <w:color w:val="000000"/>
          <w:lang w:val="en-US"/>
        </w:rPr>
        <w:t xml:space="preserve"> </w:t>
      </w:r>
      <w:r w:rsidR="00546101" w:rsidRPr="009A3D00">
        <w:rPr>
          <w:color w:val="000000" w:themeColor="text1"/>
          <w:lang w:val="en-US"/>
        </w:rPr>
        <w:t>Of note, f</w:t>
      </w:r>
      <w:r w:rsidR="004046EA" w:rsidRPr="009A3D00">
        <w:rPr>
          <w:color w:val="000000" w:themeColor="text1"/>
          <w:lang w:val="en-US"/>
        </w:rPr>
        <w:t>or in</w:t>
      </w:r>
      <w:r w:rsidR="00546101" w:rsidRPr="009A3D00">
        <w:rPr>
          <w:color w:val="000000" w:themeColor="text1"/>
          <w:lang w:val="en-US"/>
        </w:rPr>
        <w:t xml:space="preserve">ternal </w:t>
      </w:r>
      <w:r w:rsidR="00546101">
        <w:rPr>
          <w:color w:val="000000"/>
          <w:lang w:val="en-US"/>
        </w:rPr>
        <w:t>policy</w:t>
      </w:r>
      <w:r w:rsidR="004046EA">
        <w:rPr>
          <w:color w:val="000000"/>
          <w:lang w:val="en-US"/>
        </w:rPr>
        <w:t xml:space="preserve"> the </w:t>
      </w:r>
      <w:r w:rsidR="00D02553">
        <w:rPr>
          <w:color w:val="000000"/>
          <w:lang w:val="en-US"/>
        </w:rPr>
        <w:t xml:space="preserve">Italian </w:t>
      </w:r>
      <w:r w:rsidR="004046EA">
        <w:rPr>
          <w:color w:val="000000"/>
          <w:lang w:val="en-US"/>
        </w:rPr>
        <w:t>National ICD registry does not publicly report data</w:t>
      </w:r>
      <w:r w:rsidR="002156A1">
        <w:rPr>
          <w:color w:val="000000"/>
          <w:lang w:val="en-US"/>
        </w:rPr>
        <w:t xml:space="preserve"> subdivided by devices’ manufacturer.</w:t>
      </w:r>
    </w:p>
    <w:p w14:paraId="2577EDCB" w14:textId="112AD3D4" w:rsidR="00B11D95" w:rsidRPr="005011B1" w:rsidRDefault="00B11D95" w:rsidP="00795821">
      <w:pPr>
        <w:spacing w:line="480" w:lineRule="auto"/>
        <w:rPr>
          <w:color w:val="000000"/>
          <w:lang w:val="en-US"/>
        </w:rPr>
      </w:pPr>
      <w:r w:rsidRPr="005011B1">
        <w:rPr>
          <w:color w:val="000000"/>
          <w:lang w:val="en-US"/>
        </w:rPr>
        <w:t xml:space="preserve">The causes of </w:t>
      </w:r>
      <w:r w:rsidR="00076694" w:rsidRPr="005011B1">
        <w:rPr>
          <w:color w:val="000000"/>
          <w:lang w:val="en-US"/>
        </w:rPr>
        <w:t>replacement were</w:t>
      </w:r>
      <w:r w:rsidRPr="005011B1">
        <w:rPr>
          <w:color w:val="000000"/>
          <w:lang w:val="en-US"/>
        </w:rPr>
        <w:t xml:space="preserve"> </w:t>
      </w:r>
      <w:r w:rsidR="00FE41A2" w:rsidRPr="005011B1">
        <w:rPr>
          <w:color w:val="000000"/>
          <w:lang w:val="en-US"/>
        </w:rPr>
        <w:t xml:space="preserve">grouped in four categories: a) elective replacement for battery end of life; b) system recall according to specific manufacturer advisory or system malfunction detected </w:t>
      </w:r>
      <w:r w:rsidR="00727984" w:rsidRPr="005011B1">
        <w:rPr>
          <w:color w:val="000000"/>
          <w:lang w:val="en-US"/>
        </w:rPr>
        <w:t xml:space="preserve">at the follow-up </w:t>
      </w:r>
      <w:r w:rsidR="009A3D00" w:rsidRPr="005011B1">
        <w:rPr>
          <w:color w:val="000000"/>
          <w:lang w:val="en-US"/>
        </w:rPr>
        <w:t>center</w:t>
      </w:r>
      <w:r w:rsidR="00727984" w:rsidRPr="005011B1">
        <w:rPr>
          <w:color w:val="000000"/>
          <w:lang w:val="en-US"/>
        </w:rPr>
        <w:t>; c) upgrading</w:t>
      </w:r>
      <w:r w:rsidR="006E596C" w:rsidRPr="005011B1">
        <w:rPr>
          <w:color w:val="000000"/>
          <w:lang w:val="en-US"/>
        </w:rPr>
        <w:t xml:space="preserve"> to CRT </w:t>
      </w:r>
      <w:proofErr w:type="gramStart"/>
      <w:r w:rsidR="006E596C" w:rsidRPr="005011B1">
        <w:rPr>
          <w:color w:val="000000"/>
          <w:lang w:val="en-US"/>
        </w:rPr>
        <w:t xml:space="preserve">device </w:t>
      </w:r>
      <w:r w:rsidR="00727984" w:rsidRPr="005011B1">
        <w:rPr>
          <w:color w:val="000000"/>
          <w:lang w:val="en-US"/>
        </w:rPr>
        <w:t>;</w:t>
      </w:r>
      <w:proofErr w:type="gramEnd"/>
      <w:r w:rsidR="00727984" w:rsidRPr="005011B1">
        <w:rPr>
          <w:color w:val="000000"/>
          <w:lang w:val="en-US"/>
        </w:rPr>
        <w:t xml:space="preserve"> d) </w:t>
      </w:r>
      <w:r w:rsidR="006E596C" w:rsidRPr="005011B1">
        <w:rPr>
          <w:color w:val="000000"/>
          <w:lang w:val="en-US"/>
        </w:rPr>
        <w:t xml:space="preserve">system </w:t>
      </w:r>
      <w:r w:rsidR="00727984" w:rsidRPr="005011B1">
        <w:rPr>
          <w:color w:val="000000"/>
          <w:lang w:val="en-US"/>
        </w:rPr>
        <w:t xml:space="preserve">infection or pocket </w:t>
      </w:r>
      <w:r w:rsidR="00451201">
        <w:rPr>
          <w:color w:val="000000"/>
          <w:lang w:val="en-US"/>
        </w:rPr>
        <w:t>erosion</w:t>
      </w:r>
      <w:r w:rsidR="00727984" w:rsidRPr="005011B1">
        <w:rPr>
          <w:color w:val="000000"/>
          <w:lang w:val="en-US"/>
        </w:rPr>
        <w:t xml:space="preserve">. </w:t>
      </w:r>
    </w:p>
    <w:p w14:paraId="04EA4710" w14:textId="2AFE4E2C" w:rsidR="00025EFD" w:rsidRPr="00F243AB" w:rsidRDefault="00795821" w:rsidP="00795821">
      <w:pPr>
        <w:spacing w:line="480" w:lineRule="auto"/>
        <w:rPr>
          <w:color w:val="FF0000"/>
          <w:lang w:val="en-US"/>
        </w:rPr>
      </w:pPr>
      <w:r w:rsidRPr="005011B1">
        <w:rPr>
          <w:color w:val="000000"/>
          <w:lang w:val="en-US"/>
        </w:rPr>
        <w:t xml:space="preserve">For the analysis IBM SPSS Statics Version 20 </w:t>
      </w:r>
      <w:r w:rsidR="002D1559" w:rsidRPr="005011B1">
        <w:rPr>
          <w:color w:val="000000"/>
          <w:lang w:val="en-US"/>
        </w:rPr>
        <w:t>and R</w:t>
      </w:r>
      <w:r w:rsidR="0080037E" w:rsidRPr="005011B1">
        <w:rPr>
          <w:color w:val="000000"/>
          <w:lang w:val="en-US"/>
        </w:rPr>
        <w:t xml:space="preserve"> </w:t>
      </w:r>
      <w:r w:rsidR="0058077E" w:rsidRPr="005011B1">
        <w:rPr>
          <w:color w:val="000000"/>
          <w:lang w:val="en-US"/>
        </w:rPr>
        <w:t xml:space="preserve">version 3.5.2 </w:t>
      </w:r>
      <w:r w:rsidR="00431D2E" w:rsidRPr="005011B1">
        <w:rPr>
          <w:noProof/>
          <w:color w:val="000000"/>
          <w:vertAlign w:val="superscript"/>
          <w:lang w:val="en-US"/>
        </w:rPr>
        <w:t>20</w:t>
      </w:r>
      <w:r w:rsidR="0058077E" w:rsidRPr="005011B1">
        <w:rPr>
          <w:color w:val="000000"/>
          <w:lang w:val="en-US"/>
        </w:rPr>
        <w:t xml:space="preserve">powered by the rms </w:t>
      </w:r>
      <w:r w:rsidR="00746BFB" w:rsidRPr="005011B1">
        <w:rPr>
          <w:color w:val="000000"/>
          <w:lang w:val="en-US"/>
        </w:rPr>
        <w:t>package version 5.1-2</w:t>
      </w:r>
      <w:r w:rsidR="00431D2E" w:rsidRPr="005011B1">
        <w:rPr>
          <w:noProof/>
          <w:color w:val="000000"/>
          <w:vertAlign w:val="superscript"/>
          <w:lang w:val="en-US"/>
        </w:rPr>
        <w:t>21</w:t>
      </w:r>
      <w:r w:rsidR="00746BFB" w:rsidRPr="005011B1">
        <w:rPr>
          <w:color w:val="000000"/>
          <w:lang w:val="en-US"/>
        </w:rPr>
        <w:t xml:space="preserve"> </w:t>
      </w:r>
      <w:r w:rsidR="002D1559" w:rsidRPr="005011B1">
        <w:rPr>
          <w:color w:val="000000"/>
          <w:lang w:val="en-US"/>
        </w:rPr>
        <w:t>were</w:t>
      </w:r>
      <w:r w:rsidRPr="005011B1">
        <w:rPr>
          <w:color w:val="000000"/>
          <w:lang w:val="en-US"/>
        </w:rPr>
        <w:t xml:space="preserve"> employed. Data analysis included basic descriptive statistics, with categorical variables usually reported in frequencies (%) and absolute numbers, and continuous variables reported as mean ± standard deviation</w:t>
      </w:r>
      <w:r w:rsidR="001643CC" w:rsidRPr="005011B1">
        <w:rPr>
          <w:color w:val="000000"/>
          <w:lang w:val="en-US"/>
        </w:rPr>
        <w:t xml:space="preserve"> or median values and interquartile range (IQR)</w:t>
      </w:r>
      <w:r w:rsidR="002D1559" w:rsidRPr="005011B1">
        <w:rPr>
          <w:color w:val="000000"/>
          <w:lang w:val="en-US"/>
        </w:rPr>
        <w:t>, as appropriate</w:t>
      </w:r>
      <w:r w:rsidRPr="005011B1">
        <w:rPr>
          <w:color w:val="000000"/>
          <w:lang w:val="en-US"/>
        </w:rPr>
        <w:t xml:space="preserve">. P-values have been calculated, whenever appropriate, using </w:t>
      </w:r>
      <w:proofErr w:type="spellStart"/>
      <w:r w:rsidR="00096A3A" w:rsidRPr="005011B1">
        <w:rPr>
          <w:color w:val="000000"/>
          <w:lang w:val="en-US"/>
        </w:rPr>
        <w:t>ANalysis</w:t>
      </w:r>
      <w:proofErr w:type="spellEnd"/>
      <w:r w:rsidR="00096A3A" w:rsidRPr="005011B1">
        <w:rPr>
          <w:color w:val="000000"/>
          <w:lang w:val="en-US"/>
        </w:rPr>
        <w:t xml:space="preserve"> </w:t>
      </w:r>
      <w:proofErr w:type="gramStart"/>
      <w:r w:rsidR="00096A3A" w:rsidRPr="005011B1">
        <w:rPr>
          <w:color w:val="000000"/>
          <w:lang w:val="en-US"/>
        </w:rPr>
        <w:t>Of</w:t>
      </w:r>
      <w:proofErr w:type="gramEnd"/>
      <w:r w:rsidR="00096A3A" w:rsidRPr="005011B1">
        <w:rPr>
          <w:color w:val="000000"/>
          <w:lang w:val="en-US"/>
        </w:rPr>
        <w:t xml:space="preserve"> </w:t>
      </w:r>
      <w:proofErr w:type="spellStart"/>
      <w:r w:rsidR="00096A3A" w:rsidRPr="005011B1">
        <w:rPr>
          <w:color w:val="000000"/>
          <w:lang w:val="en-US"/>
        </w:rPr>
        <w:t>VAriance</w:t>
      </w:r>
      <w:proofErr w:type="spellEnd"/>
      <w:r w:rsidR="00096A3A" w:rsidRPr="005011B1">
        <w:rPr>
          <w:color w:val="000000"/>
          <w:lang w:val="en-US"/>
        </w:rPr>
        <w:t xml:space="preserve"> </w:t>
      </w:r>
      <w:r w:rsidR="006A1C40" w:rsidRPr="005011B1">
        <w:rPr>
          <w:color w:val="000000"/>
          <w:lang w:val="en-US"/>
        </w:rPr>
        <w:t>(ANOVA)</w:t>
      </w:r>
      <w:r w:rsidRPr="005011B1">
        <w:rPr>
          <w:color w:val="000000"/>
          <w:lang w:val="en-US"/>
        </w:rPr>
        <w:t xml:space="preserve"> or </w:t>
      </w:r>
      <w:r w:rsidR="000F478E" w:rsidRPr="005011B1">
        <w:rPr>
          <w:color w:val="000000"/>
          <w:lang w:val="en-US"/>
        </w:rPr>
        <w:t>Wilcoxon-Kruskal-Wallis test for continuous variables</w:t>
      </w:r>
      <w:r w:rsidR="007C31D2">
        <w:rPr>
          <w:color w:val="000000"/>
          <w:lang w:val="en-US"/>
        </w:rPr>
        <w:t xml:space="preserve"> and</w:t>
      </w:r>
      <w:r w:rsidR="000F478E" w:rsidRPr="005011B1">
        <w:rPr>
          <w:color w:val="000000"/>
          <w:lang w:val="en-US"/>
        </w:rPr>
        <w:t xml:space="preserve"> Pearson chi-square test for categorical variables.</w:t>
      </w:r>
      <w:r w:rsidR="006A1C40" w:rsidRPr="005011B1">
        <w:rPr>
          <w:i/>
          <w:color w:val="000000"/>
          <w:lang w:val="en-US"/>
        </w:rPr>
        <w:t xml:space="preserve"> </w:t>
      </w:r>
      <w:r w:rsidR="00747E31" w:rsidRPr="005011B1">
        <w:rPr>
          <w:color w:val="000000"/>
          <w:lang w:val="en-US"/>
        </w:rPr>
        <w:t xml:space="preserve">The temporal trend of devices’ longevity was estimated using a general linear model with gamma </w:t>
      </w:r>
      <w:r w:rsidR="00747E31" w:rsidRPr="005011B1">
        <w:rPr>
          <w:color w:val="000000"/>
          <w:lang w:val="en-US"/>
        </w:rPr>
        <w:lastRenderedPageBreak/>
        <w:t>distribution and log link function.</w:t>
      </w:r>
      <w:r w:rsidR="00F243AB">
        <w:rPr>
          <w:color w:val="000000"/>
          <w:lang w:val="en-US"/>
        </w:rPr>
        <w:t xml:space="preserve"> </w:t>
      </w:r>
      <w:bookmarkStart w:id="0" w:name="_GoBack"/>
      <w:r w:rsidR="00F243AB">
        <w:rPr>
          <w:color w:val="FF0000"/>
          <w:lang w:val="en-US"/>
        </w:rPr>
        <w:t>The 95% Confidence Intervals f</w:t>
      </w:r>
      <w:r w:rsidR="00F243AB" w:rsidRPr="00F243AB">
        <w:rPr>
          <w:color w:val="FF0000"/>
          <w:lang w:val="en-US"/>
        </w:rPr>
        <w:t>or the estimation</w:t>
      </w:r>
      <w:r w:rsidR="00F243AB">
        <w:rPr>
          <w:color w:val="FF0000"/>
          <w:lang w:val="en-US"/>
        </w:rPr>
        <w:t>s</w:t>
      </w:r>
      <w:r w:rsidR="00F243AB" w:rsidRPr="00F243AB">
        <w:rPr>
          <w:color w:val="FF0000"/>
          <w:lang w:val="en-US"/>
        </w:rPr>
        <w:t xml:space="preserve"> were evaluated by </w:t>
      </w:r>
      <w:r w:rsidR="00F243AB">
        <w:rPr>
          <w:color w:val="FF0000"/>
          <w:lang w:val="en-US"/>
        </w:rPr>
        <w:t xml:space="preserve">the </w:t>
      </w:r>
      <w:r w:rsidR="00F243AB" w:rsidRPr="00F243AB">
        <w:rPr>
          <w:color w:val="FF0000"/>
          <w:lang w:val="en-US"/>
        </w:rPr>
        <w:t xml:space="preserve">estimation of 1000 bootstrap </w:t>
      </w:r>
      <w:r w:rsidR="00F243AB">
        <w:rPr>
          <w:color w:val="FF0000"/>
          <w:lang w:val="en-US"/>
        </w:rPr>
        <w:t>evaluations</w:t>
      </w:r>
      <w:r w:rsidR="00F243AB" w:rsidRPr="00F243AB">
        <w:rPr>
          <w:color w:val="FF0000"/>
          <w:lang w:val="en-US"/>
        </w:rPr>
        <w:t xml:space="preserve"> of the model, clustered at the subject level.</w:t>
      </w:r>
      <w:r w:rsidR="00F243AB">
        <w:rPr>
          <w:color w:val="FF0000"/>
          <w:lang w:val="en-US"/>
        </w:rPr>
        <w:t xml:space="preserve"> [</w:t>
      </w:r>
      <w:r w:rsidR="00F243AB" w:rsidRPr="00F243AB">
        <w:rPr>
          <w:color w:val="FF0000"/>
          <w:lang w:val="en-US"/>
        </w:rPr>
        <w:t xml:space="preserve"> </w:t>
      </w:r>
      <w:proofErr w:type="spellStart"/>
      <w:r w:rsidR="00F243AB" w:rsidRPr="00F243AB">
        <w:rPr>
          <w:color w:val="FF0000"/>
          <w:lang w:val="en-US"/>
        </w:rPr>
        <w:t>Cribari-Neto</w:t>
      </w:r>
      <w:proofErr w:type="spellEnd"/>
      <w:r w:rsidR="00F243AB" w:rsidRPr="00F243AB">
        <w:rPr>
          <w:color w:val="FF0000"/>
          <w:lang w:val="en-US"/>
        </w:rPr>
        <w:t xml:space="preserve">, F., &amp; </w:t>
      </w:r>
      <w:proofErr w:type="spellStart"/>
      <w:r w:rsidR="00F243AB" w:rsidRPr="00F243AB">
        <w:rPr>
          <w:color w:val="FF0000"/>
          <w:lang w:val="en-US"/>
        </w:rPr>
        <w:t>Zarkos</w:t>
      </w:r>
      <w:proofErr w:type="spellEnd"/>
      <w:r w:rsidR="00F243AB" w:rsidRPr="00F243AB">
        <w:rPr>
          <w:color w:val="FF0000"/>
          <w:lang w:val="en-US"/>
        </w:rPr>
        <w:t>, S. G. (1999). Bootstrap methods for heteroskedastic regression models: evidence on estimation and testing. Econometric Reviews, 18(2), 211–228. doi:10.1080/07474939908800440 (https://doi.org/10.1080/07474939908800440)</w:t>
      </w:r>
      <w:r w:rsidR="00F243AB">
        <w:rPr>
          <w:color w:val="FF0000"/>
          <w:lang w:val="en-US"/>
        </w:rPr>
        <w:t>]</w:t>
      </w:r>
      <w:r w:rsidR="00F243AB" w:rsidRPr="00F243AB">
        <w:rPr>
          <w:color w:val="FF0000"/>
          <w:lang w:val="en-US"/>
        </w:rPr>
        <w:t>.</w:t>
      </w:r>
    </w:p>
    <w:bookmarkEnd w:id="0"/>
    <w:p w14:paraId="2AB4DAC6" w14:textId="4B502FF0" w:rsidR="005932A2" w:rsidRPr="005011B1" w:rsidRDefault="005932A2" w:rsidP="00795821">
      <w:pPr>
        <w:spacing w:line="480" w:lineRule="auto"/>
        <w:rPr>
          <w:color w:val="000000"/>
          <w:lang w:val="en-US"/>
        </w:rPr>
      </w:pPr>
      <w:r w:rsidRPr="005011B1">
        <w:rPr>
          <w:color w:val="000000"/>
          <w:lang w:val="en-US"/>
        </w:rPr>
        <w:t>RESULTS</w:t>
      </w:r>
      <w:r w:rsidRPr="005011B1">
        <w:rPr>
          <w:color w:val="000000"/>
          <w:lang w:val="en-US"/>
        </w:rPr>
        <w:br/>
      </w:r>
      <w:r w:rsidR="00CE4946" w:rsidRPr="005011B1">
        <w:rPr>
          <w:color w:val="000000"/>
          <w:lang w:val="en-US"/>
        </w:rPr>
        <w:t>In the decade 2007-</w:t>
      </w:r>
      <w:r w:rsidR="00170B7B" w:rsidRPr="005011B1">
        <w:rPr>
          <w:color w:val="000000"/>
          <w:lang w:val="en-US"/>
        </w:rPr>
        <w:t>20</w:t>
      </w:r>
      <w:r w:rsidR="00CE4946" w:rsidRPr="005011B1">
        <w:rPr>
          <w:color w:val="000000"/>
          <w:lang w:val="en-US"/>
        </w:rPr>
        <w:t xml:space="preserve">16 the Italian ICD Registry </w:t>
      </w:r>
      <w:r w:rsidR="001320FB" w:rsidRPr="005011B1">
        <w:rPr>
          <w:color w:val="000000"/>
          <w:lang w:val="en-US"/>
        </w:rPr>
        <w:t>collected</w:t>
      </w:r>
      <w:r w:rsidR="005172B6" w:rsidRPr="005011B1">
        <w:rPr>
          <w:color w:val="000000"/>
          <w:lang w:val="en-US"/>
        </w:rPr>
        <w:t xml:space="preserve"> 2</w:t>
      </w:r>
      <w:r w:rsidR="00E10EDE" w:rsidRPr="005011B1">
        <w:rPr>
          <w:color w:val="000000"/>
          <w:lang w:val="en-US"/>
        </w:rPr>
        <w:t>9158</w:t>
      </w:r>
      <w:r w:rsidR="005172B6" w:rsidRPr="005011B1">
        <w:rPr>
          <w:color w:val="000000"/>
          <w:lang w:val="en-US"/>
        </w:rPr>
        <w:t xml:space="preserve"> patients (80,9% males; mean age 65.</w:t>
      </w:r>
      <w:r w:rsidR="001D6F2D">
        <w:rPr>
          <w:color w:val="000000"/>
          <w:lang w:val="en-US"/>
        </w:rPr>
        <w:t>2</w:t>
      </w:r>
      <w:r w:rsidR="000740B4" w:rsidRPr="005011B1">
        <w:rPr>
          <w:color w:val="000000"/>
          <w:lang w:val="en-US"/>
        </w:rPr>
        <w:t xml:space="preserve"> </w:t>
      </w:r>
      <w:r w:rsidR="000740B4" w:rsidRPr="005011B1">
        <w:rPr>
          <w:color w:val="000000"/>
          <w:lang w:val="en-US"/>
        </w:rPr>
        <w:sym w:font="Symbol" w:char="F0B1"/>
      </w:r>
      <w:r w:rsidR="005172B6" w:rsidRPr="005011B1">
        <w:rPr>
          <w:color w:val="000000"/>
          <w:lang w:val="en-US"/>
        </w:rPr>
        <w:t xml:space="preserve"> 12.</w:t>
      </w:r>
      <w:r w:rsidR="00E673F3">
        <w:rPr>
          <w:color w:val="000000"/>
          <w:lang w:val="en-US"/>
        </w:rPr>
        <w:t>1</w:t>
      </w:r>
      <w:r w:rsidR="005172B6" w:rsidRPr="005011B1">
        <w:rPr>
          <w:color w:val="000000"/>
          <w:lang w:val="en-US"/>
        </w:rPr>
        <w:t xml:space="preserve"> years old)</w:t>
      </w:r>
      <w:r w:rsidR="00A8085C">
        <w:rPr>
          <w:color w:val="000000"/>
          <w:lang w:val="en-US"/>
        </w:rPr>
        <w:t>,</w:t>
      </w:r>
      <w:r w:rsidR="001320FB" w:rsidRPr="005011B1">
        <w:rPr>
          <w:color w:val="000000"/>
          <w:lang w:val="en-US"/>
        </w:rPr>
        <w:t xml:space="preserve"> </w:t>
      </w:r>
      <w:r w:rsidR="00CE558D">
        <w:rPr>
          <w:color w:val="000000"/>
          <w:lang w:val="en-US"/>
        </w:rPr>
        <w:t>whom</w:t>
      </w:r>
      <w:r w:rsidR="00CE558D" w:rsidRPr="005011B1">
        <w:rPr>
          <w:color w:val="000000"/>
          <w:lang w:val="en-US"/>
        </w:rPr>
        <w:t xml:space="preserve"> </w:t>
      </w:r>
      <w:r w:rsidR="001320FB" w:rsidRPr="005011B1">
        <w:rPr>
          <w:color w:val="000000"/>
          <w:lang w:val="en-US"/>
        </w:rPr>
        <w:t xml:space="preserve">underwent ICD/CRT-D </w:t>
      </w:r>
      <w:r w:rsidR="00025EFD" w:rsidRPr="005011B1">
        <w:rPr>
          <w:color w:val="000000"/>
          <w:lang w:val="en-US"/>
        </w:rPr>
        <w:t xml:space="preserve">device </w:t>
      </w:r>
      <w:r w:rsidR="00AB6134" w:rsidRPr="005011B1">
        <w:rPr>
          <w:color w:val="000000"/>
          <w:lang w:val="en-US"/>
        </w:rPr>
        <w:t>replacement.</w:t>
      </w:r>
      <w:r w:rsidR="00E10EDE" w:rsidRPr="005011B1">
        <w:rPr>
          <w:color w:val="000000"/>
          <w:lang w:val="en-US"/>
        </w:rPr>
        <w:t xml:space="preserve"> </w:t>
      </w:r>
      <w:r w:rsidR="00CE558D">
        <w:rPr>
          <w:color w:val="000000"/>
          <w:lang w:val="en-US"/>
        </w:rPr>
        <w:t>Among these patients</w:t>
      </w:r>
      <w:r w:rsidR="00E10EDE" w:rsidRPr="005011B1">
        <w:rPr>
          <w:color w:val="000000"/>
          <w:lang w:val="en-US"/>
        </w:rPr>
        <w:t>, 18814 (64.5%; mean age</w:t>
      </w:r>
      <w:r w:rsidR="00B371A2" w:rsidRPr="005011B1">
        <w:rPr>
          <w:color w:val="000000"/>
          <w:lang w:val="en-US"/>
        </w:rPr>
        <w:t xml:space="preserve"> at </w:t>
      </w:r>
      <w:r w:rsidR="00025EFD" w:rsidRPr="005011B1">
        <w:rPr>
          <w:color w:val="000000"/>
          <w:lang w:val="en-US"/>
        </w:rPr>
        <w:t xml:space="preserve">device </w:t>
      </w:r>
      <w:r w:rsidR="00B371A2" w:rsidRPr="005011B1">
        <w:rPr>
          <w:color w:val="000000"/>
          <w:lang w:val="en-US"/>
        </w:rPr>
        <w:t>replacement</w:t>
      </w:r>
      <w:r w:rsidR="00E10EDE" w:rsidRPr="005011B1">
        <w:rPr>
          <w:color w:val="000000"/>
          <w:lang w:val="en-US"/>
        </w:rPr>
        <w:t xml:space="preserve"> 66.2</w:t>
      </w:r>
      <w:r w:rsidR="000740B4" w:rsidRPr="005011B1">
        <w:rPr>
          <w:color w:val="000000"/>
          <w:lang w:val="en-US"/>
        </w:rPr>
        <w:t xml:space="preserve"> </w:t>
      </w:r>
      <w:r w:rsidR="000740B4" w:rsidRPr="005011B1">
        <w:rPr>
          <w:color w:val="000000"/>
          <w:lang w:val="en-US"/>
        </w:rPr>
        <w:sym w:font="Symbol" w:char="F0B1"/>
      </w:r>
      <w:r w:rsidR="000740B4" w:rsidRPr="005011B1">
        <w:rPr>
          <w:color w:val="000000"/>
          <w:lang w:val="en-US"/>
        </w:rPr>
        <w:t xml:space="preserve"> </w:t>
      </w:r>
      <w:r w:rsidR="00E10EDE" w:rsidRPr="005011B1">
        <w:rPr>
          <w:color w:val="000000"/>
          <w:lang w:val="en-US"/>
        </w:rPr>
        <w:t>11</w:t>
      </w:r>
      <w:r w:rsidR="00A83CEE" w:rsidRPr="005011B1">
        <w:rPr>
          <w:color w:val="000000"/>
          <w:lang w:val="en-US"/>
        </w:rPr>
        <w:t>.</w:t>
      </w:r>
      <w:r w:rsidR="00CE4946" w:rsidRPr="005011B1">
        <w:rPr>
          <w:color w:val="000000"/>
          <w:lang w:val="en-US"/>
        </w:rPr>
        <w:t>5 years)</w:t>
      </w:r>
      <w:r w:rsidR="00170B7B" w:rsidRPr="005011B1">
        <w:rPr>
          <w:color w:val="000000"/>
          <w:lang w:val="en-US"/>
        </w:rPr>
        <w:t xml:space="preserve"> </w:t>
      </w:r>
      <w:r w:rsidR="00CE558D">
        <w:rPr>
          <w:color w:val="000000"/>
          <w:lang w:val="en-US"/>
        </w:rPr>
        <w:t xml:space="preserve">had </w:t>
      </w:r>
      <w:r w:rsidR="00170B7B" w:rsidRPr="005011B1">
        <w:rPr>
          <w:color w:val="000000"/>
          <w:lang w:val="en-US"/>
        </w:rPr>
        <w:t>received</w:t>
      </w:r>
      <w:r w:rsidR="00CE558D">
        <w:rPr>
          <w:color w:val="000000"/>
          <w:lang w:val="en-US"/>
        </w:rPr>
        <w:t xml:space="preserve"> their first ICD/CRT-D</w:t>
      </w:r>
      <w:r w:rsidR="00E10EDE" w:rsidRPr="005011B1">
        <w:rPr>
          <w:color w:val="000000"/>
          <w:lang w:val="en-US"/>
        </w:rPr>
        <w:t xml:space="preserve"> for primary prevention and 10344 (35.5%; mean age</w:t>
      </w:r>
      <w:r w:rsidR="005F34E8">
        <w:rPr>
          <w:color w:val="000000"/>
          <w:lang w:val="en-US"/>
        </w:rPr>
        <w:t xml:space="preserve"> at device replacement</w:t>
      </w:r>
      <w:r w:rsidR="00E10EDE" w:rsidRPr="005011B1">
        <w:rPr>
          <w:color w:val="000000"/>
          <w:lang w:val="en-US"/>
        </w:rPr>
        <w:t xml:space="preserve"> 64.1</w:t>
      </w:r>
      <w:r w:rsidR="000740B4" w:rsidRPr="005011B1">
        <w:rPr>
          <w:color w:val="000000"/>
          <w:lang w:val="en-US"/>
        </w:rPr>
        <w:t xml:space="preserve"> </w:t>
      </w:r>
      <w:r w:rsidR="000740B4" w:rsidRPr="005011B1">
        <w:rPr>
          <w:color w:val="000000"/>
          <w:lang w:val="en-US"/>
        </w:rPr>
        <w:sym w:font="Symbol" w:char="F0B1"/>
      </w:r>
      <w:r w:rsidR="000740B4" w:rsidRPr="005011B1">
        <w:rPr>
          <w:color w:val="000000"/>
          <w:lang w:val="en-US"/>
        </w:rPr>
        <w:t xml:space="preserve"> </w:t>
      </w:r>
      <w:r w:rsidR="00E10EDE" w:rsidRPr="005011B1">
        <w:rPr>
          <w:color w:val="000000"/>
          <w:lang w:val="en-US"/>
        </w:rPr>
        <w:t xml:space="preserve">13.1 years) for secondary prevention. </w:t>
      </w:r>
    </w:p>
    <w:p w14:paraId="7739ACFA" w14:textId="77777777" w:rsidR="003C5FB3" w:rsidRPr="005011B1" w:rsidRDefault="00CF3C7E" w:rsidP="00795821">
      <w:pPr>
        <w:spacing w:line="480" w:lineRule="auto"/>
        <w:rPr>
          <w:color w:val="000000"/>
          <w:lang w:val="en-US"/>
        </w:rPr>
      </w:pPr>
      <w:r w:rsidRPr="005011B1">
        <w:rPr>
          <w:color w:val="000000"/>
          <w:lang w:val="en-US"/>
        </w:rPr>
        <w:t>Table 1 shows the distribution of patients according</w:t>
      </w:r>
      <w:r w:rsidR="002A356A" w:rsidRPr="005011B1">
        <w:rPr>
          <w:color w:val="000000"/>
          <w:lang w:val="en-US"/>
        </w:rPr>
        <w:t xml:space="preserve"> to</w:t>
      </w:r>
      <w:r w:rsidR="009D2673" w:rsidRPr="005011B1">
        <w:rPr>
          <w:color w:val="000000"/>
          <w:lang w:val="en-US"/>
        </w:rPr>
        <w:t xml:space="preserve"> the main</w:t>
      </w:r>
      <w:r w:rsidR="00170B7B" w:rsidRPr="005011B1">
        <w:rPr>
          <w:color w:val="000000"/>
          <w:lang w:val="en-US"/>
        </w:rPr>
        <w:t xml:space="preserve"> clinical indication</w:t>
      </w:r>
      <w:r w:rsidR="009D2673" w:rsidRPr="005011B1">
        <w:rPr>
          <w:color w:val="000000"/>
          <w:lang w:val="en-US"/>
        </w:rPr>
        <w:t xml:space="preserve"> and </w:t>
      </w:r>
      <w:r w:rsidR="00AB6134" w:rsidRPr="005011B1">
        <w:rPr>
          <w:color w:val="000000"/>
          <w:lang w:val="en-US"/>
        </w:rPr>
        <w:t>the characteristics</w:t>
      </w:r>
      <w:r w:rsidR="00A50DC3" w:rsidRPr="005011B1">
        <w:rPr>
          <w:color w:val="000000"/>
          <w:lang w:val="en-US"/>
        </w:rPr>
        <w:t xml:space="preserve"> of the implanted device.</w:t>
      </w:r>
      <w:r w:rsidR="002A356A" w:rsidRPr="005011B1">
        <w:rPr>
          <w:color w:val="000000"/>
          <w:lang w:val="en-US"/>
        </w:rPr>
        <w:t xml:space="preserve"> </w:t>
      </w:r>
      <w:r w:rsidR="00473955" w:rsidRPr="005011B1">
        <w:rPr>
          <w:color w:val="000000"/>
          <w:lang w:val="en-US"/>
        </w:rPr>
        <w:t>Overall, t</w:t>
      </w:r>
      <w:r w:rsidR="002A356A" w:rsidRPr="005011B1">
        <w:rPr>
          <w:color w:val="000000"/>
          <w:lang w:val="en-US"/>
        </w:rPr>
        <w:t>he</w:t>
      </w:r>
      <w:r w:rsidR="00B813A9" w:rsidRPr="005011B1">
        <w:rPr>
          <w:color w:val="000000"/>
          <w:lang w:val="en-US"/>
        </w:rPr>
        <w:t xml:space="preserve"> </w:t>
      </w:r>
      <w:r w:rsidR="00025EFD" w:rsidRPr="005011B1">
        <w:rPr>
          <w:color w:val="000000"/>
          <w:lang w:val="en-US"/>
        </w:rPr>
        <w:t xml:space="preserve">largest </w:t>
      </w:r>
      <w:r w:rsidR="00AB6134" w:rsidRPr="005011B1">
        <w:rPr>
          <w:color w:val="000000"/>
          <w:lang w:val="en-US"/>
        </w:rPr>
        <w:t>proportion of</w:t>
      </w:r>
      <w:r w:rsidR="002A356A" w:rsidRPr="005011B1">
        <w:rPr>
          <w:color w:val="000000"/>
          <w:lang w:val="en-US"/>
        </w:rPr>
        <w:t xml:space="preserve"> patients was implanted with a CRT-D</w:t>
      </w:r>
      <w:r w:rsidR="00A50DC3" w:rsidRPr="005011B1">
        <w:rPr>
          <w:color w:val="000000"/>
          <w:lang w:val="en-US"/>
        </w:rPr>
        <w:t xml:space="preserve"> </w:t>
      </w:r>
      <w:r w:rsidR="00473955" w:rsidRPr="005011B1">
        <w:rPr>
          <w:color w:val="000000"/>
          <w:lang w:val="en-US"/>
        </w:rPr>
        <w:t>(47.5%)</w:t>
      </w:r>
      <w:r w:rsidR="00CE4946" w:rsidRPr="005011B1">
        <w:rPr>
          <w:color w:val="000000"/>
          <w:lang w:val="en-US"/>
        </w:rPr>
        <w:t>,</w:t>
      </w:r>
      <w:r w:rsidR="00473955" w:rsidRPr="005011B1">
        <w:rPr>
          <w:color w:val="000000"/>
          <w:lang w:val="en-US"/>
        </w:rPr>
        <w:t xml:space="preserve"> but this distribution was strongly influenced by the larger subgroup of patients implanted for primary prevention; in fact, patients implanted for secondary prevention </w:t>
      </w:r>
      <w:r w:rsidR="003C5FB3" w:rsidRPr="005011B1">
        <w:rPr>
          <w:color w:val="000000"/>
          <w:lang w:val="en-US"/>
        </w:rPr>
        <w:t xml:space="preserve">received the three </w:t>
      </w:r>
      <w:r w:rsidR="00B4068A" w:rsidRPr="005011B1">
        <w:rPr>
          <w:color w:val="000000"/>
          <w:lang w:val="en-US"/>
        </w:rPr>
        <w:t xml:space="preserve">ICD types (VR, DR, CRT-D) </w:t>
      </w:r>
      <w:r w:rsidR="003C5FB3" w:rsidRPr="005011B1">
        <w:rPr>
          <w:color w:val="000000"/>
          <w:lang w:val="en-US"/>
        </w:rPr>
        <w:t xml:space="preserve">in substantially equally distributed percentages. </w:t>
      </w:r>
    </w:p>
    <w:p w14:paraId="7AADE4DC" w14:textId="77777777" w:rsidR="005A29FA" w:rsidRPr="005011B1" w:rsidRDefault="00993921" w:rsidP="00795821">
      <w:pPr>
        <w:spacing w:line="480" w:lineRule="auto"/>
        <w:rPr>
          <w:color w:val="000000"/>
          <w:u w:val="single"/>
          <w:lang w:val="en-US"/>
        </w:rPr>
      </w:pPr>
      <w:r w:rsidRPr="005011B1">
        <w:rPr>
          <w:color w:val="000000"/>
          <w:lang w:val="en-US"/>
        </w:rPr>
        <w:t xml:space="preserve">Table 2 shows the distribution of patients according to the underlying </w:t>
      </w:r>
      <w:r w:rsidR="000939EA" w:rsidRPr="005011B1">
        <w:rPr>
          <w:color w:val="000000"/>
          <w:lang w:val="en-US"/>
        </w:rPr>
        <w:t>heart disease</w:t>
      </w:r>
      <w:r w:rsidRPr="005011B1">
        <w:rPr>
          <w:color w:val="000000"/>
          <w:lang w:val="en-US"/>
        </w:rPr>
        <w:t xml:space="preserve"> and device</w:t>
      </w:r>
      <w:r w:rsidR="00957C52" w:rsidRPr="005011B1">
        <w:rPr>
          <w:color w:val="000000"/>
          <w:lang w:val="en-US"/>
        </w:rPr>
        <w:t>’s</w:t>
      </w:r>
      <w:r w:rsidRPr="005011B1">
        <w:rPr>
          <w:color w:val="000000"/>
          <w:lang w:val="en-US"/>
        </w:rPr>
        <w:t xml:space="preserve"> characteristics. Overall, </w:t>
      </w:r>
      <w:proofErr w:type="gramStart"/>
      <w:r w:rsidRPr="005011B1">
        <w:rPr>
          <w:color w:val="000000"/>
          <w:lang w:val="en-US"/>
        </w:rPr>
        <w:t>the majority of</w:t>
      </w:r>
      <w:proofErr w:type="gramEnd"/>
      <w:r w:rsidRPr="005011B1">
        <w:rPr>
          <w:color w:val="000000"/>
          <w:lang w:val="en-US"/>
        </w:rPr>
        <w:t xml:space="preserve"> patients </w:t>
      </w:r>
      <w:r w:rsidR="00FF0D66" w:rsidRPr="005011B1">
        <w:rPr>
          <w:color w:val="000000"/>
          <w:lang w:val="en-US"/>
        </w:rPr>
        <w:t xml:space="preserve">suffered from ischemic cardiomyopathy and the second most represented </w:t>
      </w:r>
      <w:r w:rsidR="009D2673" w:rsidRPr="005011B1">
        <w:rPr>
          <w:color w:val="000000"/>
          <w:lang w:val="en-US"/>
        </w:rPr>
        <w:t xml:space="preserve">etiology </w:t>
      </w:r>
      <w:r w:rsidR="00FF0D66" w:rsidRPr="005011B1">
        <w:rPr>
          <w:color w:val="000000"/>
          <w:lang w:val="en-US"/>
        </w:rPr>
        <w:t xml:space="preserve">was </w:t>
      </w:r>
      <w:r w:rsidRPr="005011B1">
        <w:rPr>
          <w:color w:val="000000"/>
          <w:lang w:val="en-US"/>
        </w:rPr>
        <w:t>non-ischemic cardiomyopathy</w:t>
      </w:r>
      <w:r w:rsidR="001D4EDC" w:rsidRPr="005011B1">
        <w:rPr>
          <w:color w:val="000000"/>
          <w:lang w:val="en-US"/>
        </w:rPr>
        <w:t>;</w:t>
      </w:r>
      <w:r w:rsidR="007F01EC" w:rsidRPr="005011B1">
        <w:rPr>
          <w:color w:val="000000"/>
          <w:lang w:val="en-US"/>
        </w:rPr>
        <w:t xml:space="preserve"> conversely,</w:t>
      </w:r>
      <w:r w:rsidR="001D4EDC" w:rsidRPr="005011B1">
        <w:rPr>
          <w:color w:val="000000"/>
          <w:lang w:val="en-US"/>
        </w:rPr>
        <w:t xml:space="preserve"> the last one was preponderant i</w:t>
      </w:r>
      <w:r w:rsidRPr="005011B1">
        <w:rPr>
          <w:color w:val="000000"/>
          <w:lang w:val="en-US"/>
        </w:rPr>
        <w:t xml:space="preserve">n the subgroup of patients implanted with a CRT-D. As expected, patients implanted for an idiopathic purely arrhythmic disease were more represented in the subgroup of patients implanted with an ICD-VR. </w:t>
      </w:r>
    </w:p>
    <w:p w14:paraId="7C31B771" w14:textId="71F04E04" w:rsidR="008A2263" w:rsidRPr="005011B1" w:rsidRDefault="008A2263" w:rsidP="008A2263">
      <w:pPr>
        <w:spacing w:line="480" w:lineRule="auto"/>
        <w:rPr>
          <w:color w:val="000000"/>
          <w:lang w:val="en-US"/>
        </w:rPr>
      </w:pPr>
      <w:r w:rsidRPr="005011B1">
        <w:rPr>
          <w:color w:val="000000"/>
          <w:lang w:val="en-US"/>
        </w:rPr>
        <w:lastRenderedPageBreak/>
        <w:t xml:space="preserve">The </w:t>
      </w:r>
      <w:r w:rsidRPr="005011B1">
        <w:rPr>
          <w:i/>
          <w:color w:val="000000"/>
          <w:lang w:val="en-US"/>
        </w:rPr>
        <w:t xml:space="preserve">median </w:t>
      </w:r>
      <w:r w:rsidR="00057555" w:rsidRPr="005011B1">
        <w:rPr>
          <w:i/>
          <w:color w:val="000000"/>
          <w:lang w:val="en-US"/>
        </w:rPr>
        <w:t>service-</w:t>
      </w:r>
      <w:r w:rsidR="0000456A" w:rsidRPr="005011B1">
        <w:rPr>
          <w:i/>
          <w:color w:val="000000"/>
          <w:lang w:val="en-US"/>
        </w:rPr>
        <w:t>life of</w:t>
      </w:r>
      <w:r w:rsidRPr="005011B1">
        <w:rPr>
          <w:color w:val="000000"/>
          <w:lang w:val="en-US"/>
        </w:rPr>
        <w:t xml:space="preserve"> the </w:t>
      </w:r>
      <w:r w:rsidR="00A81F29" w:rsidRPr="005011B1">
        <w:rPr>
          <w:color w:val="000000"/>
          <w:lang w:val="en-US"/>
        </w:rPr>
        <w:t xml:space="preserve">replaced </w:t>
      </w:r>
      <w:r w:rsidRPr="005011B1">
        <w:rPr>
          <w:color w:val="000000"/>
          <w:lang w:val="en-US"/>
        </w:rPr>
        <w:t xml:space="preserve">devices was </w:t>
      </w:r>
      <w:r w:rsidR="00A81F29" w:rsidRPr="005011B1">
        <w:rPr>
          <w:color w:val="000000"/>
          <w:lang w:val="en-US"/>
        </w:rPr>
        <w:t>57</w:t>
      </w:r>
      <w:r w:rsidR="00BA05A0">
        <w:rPr>
          <w:color w:val="000000"/>
          <w:lang w:val="en-US"/>
        </w:rPr>
        <w:t>.</w:t>
      </w:r>
      <w:r w:rsidR="00A81F29" w:rsidRPr="005011B1">
        <w:rPr>
          <w:color w:val="000000"/>
          <w:lang w:val="en-US"/>
        </w:rPr>
        <w:t>3</w:t>
      </w:r>
      <w:r w:rsidR="00CE4946" w:rsidRPr="005011B1">
        <w:rPr>
          <w:color w:val="000000"/>
          <w:lang w:val="en-US"/>
        </w:rPr>
        <w:t xml:space="preserve"> </w:t>
      </w:r>
      <w:r w:rsidR="00A81F29" w:rsidRPr="005011B1">
        <w:rPr>
          <w:color w:val="000000"/>
          <w:lang w:val="en-US"/>
        </w:rPr>
        <w:t xml:space="preserve">IQR 27.8 </w:t>
      </w:r>
      <w:r w:rsidR="00CE4946" w:rsidRPr="005011B1">
        <w:rPr>
          <w:color w:val="000000"/>
          <w:lang w:val="en-US"/>
        </w:rPr>
        <w:t>months</w:t>
      </w:r>
      <w:r w:rsidR="00A81F29" w:rsidRPr="005011B1">
        <w:rPr>
          <w:color w:val="000000"/>
          <w:lang w:val="en-US"/>
        </w:rPr>
        <w:t>. In detail,</w:t>
      </w:r>
      <w:r w:rsidRPr="005011B1">
        <w:rPr>
          <w:color w:val="000000"/>
          <w:lang w:val="en-US"/>
        </w:rPr>
        <w:t xml:space="preserve"> </w:t>
      </w:r>
      <w:r w:rsidR="00A81F29" w:rsidRPr="005011B1">
        <w:rPr>
          <w:color w:val="000000"/>
          <w:lang w:val="en-US"/>
        </w:rPr>
        <w:t>in</w:t>
      </w:r>
      <w:r w:rsidRPr="005011B1">
        <w:rPr>
          <w:color w:val="000000"/>
          <w:lang w:val="en-US"/>
        </w:rPr>
        <w:t xml:space="preserve"> those implanted for primary prevention</w:t>
      </w:r>
      <w:r w:rsidR="00A81F29" w:rsidRPr="005011B1">
        <w:rPr>
          <w:color w:val="000000"/>
          <w:lang w:val="en-US"/>
        </w:rPr>
        <w:t xml:space="preserve"> median </w:t>
      </w:r>
      <w:r w:rsidR="00057555" w:rsidRPr="005011B1">
        <w:rPr>
          <w:color w:val="000000"/>
          <w:lang w:val="en-US"/>
        </w:rPr>
        <w:t>service-life</w:t>
      </w:r>
      <w:r w:rsidR="00D323B4" w:rsidRPr="005011B1">
        <w:rPr>
          <w:color w:val="000000"/>
          <w:lang w:val="en-US"/>
        </w:rPr>
        <w:t xml:space="preserve"> </w:t>
      </w:r>
      <w:r w:rsidR="00A81F29" w:rsidRPr="005011B1">
        <w:rPr>
          <w:color w:val="000000"/>
          <w:lang w:val="en-US"/>
        </w:rPr>
        <w:t>was 56.8 IQR 27.0 months</w:t>
      </w:r>
      <w:r w:rsidR="00FE12F8" w:rsidRPr="005011B1">
        <w:rPr>
          <w:color w:val="000000"/>
          <w:lang w:val="en-US"/>
        </w:rPr>
        <w:t>,</w:t>
      </w:r>
      <w:r w:rsidR="00A81F29" w:rsidRPr="005011B1">
        <w:rPr>
          <w:color w:val="000000"/>
          <w:lang w:val="en-US"/>
        </w:rPr>
        <w:t xml:space="preserve"> whereas in those implanted for secondary prevention </w:t>
      </w:r>
      <w:r w:rsidR="00D323B4" w:rsidRPr="005011B1">
        <w:rPr>
          <w:color w:val="000000"/>
          <w:lang w:val="en-US"/>
        </w:rPr>
        <w:t xml:space="preserve">it </w:t>
      </w:r>
      <w:r w:rsidR="00A81F29" w:rsidRPr="005011B1">
        <w:rPr>
          <w:color w:val="000000"/>
          <w:lang w:val="en-US"/>
        </w:rPr>
        <w:t>was</w:t>
      </w:r>
      <w:r w:rsidRPr="005011B1">
        <w:rPr>
          <w:color w:val="000000"/>
          <w:lang w:val="en-US"/>
        </w:rPr>
        <w:t xml:space="preserve"> 58.0 IQR 29.4 </w:t>
      </w:r>
      <w:r w:rsidR="002C60E8" w:rsidRPr="005011B1">
        <w:rPr>
          <w:color w:val="000000"/>
          <w:lang w:val="en-US"/>
        </w:rPr>
        <w:t>months</w:t>
      </w:r>
      <w:r w:rsidRPr="005011B1">
        <w:rPr>
          <w:color w:val="000000"/>
          <w:lang w:val="en-US"/>
        </w:rPr>
        <w:t xml:space="preserve"> (p&lt;0</w:t>
      </w:r>
      <w:r w:rsidR="002C60E8" w:rsidRPr="005011B1">
        <w:rPr>
          <w:color w:val="000000"/>
          <w:lang w:val="en-US"/>
        </w:rPr>
        <w:t>.</w:t>
      </w:r>
      <w:r w:rsidRPr="005011B1">
        <w:rPr>
          <w:color w:val="000000"/>
          <w:lang w:val="en-US"/>
        </w:rPr>
        <w:t>0</w:t>
      </w:r>
      <w:r w:rsidR="002C60E8" w:rsidRPr="005011B1">
        <w:rPr>
          <w:color w:val="000000"/>
          <w:lang w:val="en-US"/>
        </w:rPr>
        <w:t>0</w:t>
      </w:r>
      <w:r w:rsidRPr="005011B1">
        <w:rPr>
          <w:color w:val="000000"/>
          <w:lang w:val="en-US"/>
        </w:rPr>
        <w:t xml:space="preserve">1). </w:t>
      </w:r>
      <w:r w:rsidR="00785415" w:rsidRPr="005011B1">
        <w:rPr>
          <w:color w:val="000000"/>
          <w:lang w:val="en-US"/>
        </w:rPr>
        <w:t>T</w:t>
      </w:r>
      <w:r w:rsidR="00D323B4" w:rsidRPr="005011B1">
        <w:rPr>
          <w:color w:val="000000"/>
          <w:lang w:val="en-US"/>
        </w:rPr>
        <w:t xml:space="preserve">he </w:t>
      </w:r>
      <w:r w:rsidR="00057555" w:rsidRPr="005011B1">
        <w:rPr>
          <w:color w:val="000000"/>
          <w:lang w:val="en-US"/>
        </w:rPr>
        <w:t>service-life</w:t>
      </w:r>
      <w:r w:rsidR="00D323B4" w:rsidRPr="005011B1">
        <w:rPr>
          <w:color w:val="000000"/>
          <w:lang w:val="en-US"/>
        </w:rPr>
        <w:t xml:space="preserve"> </w:t>
      </w:r>
      <w:r w:rsidR="002C60E8" w:rsidRPr="005011B1">
        <w:rPr>
          <w:color w:val="000000"/>
          <w:lang w:val="en-US"/>
        </w:rPr>
        <w:t xml:space="preserve">of CRT-D </w:t>
      </w:r>
      <w:r w:rsidR="00D323B4" w:rsidRPr="005011B1">
        <w:rPr>
          <w:color w:val="000000"/>
          <w:lang w:val="en-US"/>
        </w:rPr>
        <w:t xml:space="preserve">devices </w:t>
      </w:r>
      <w:r w:rsidR="002C60E8" w:rsidRPr="005011B1">
        <w:rPr>
          <w:color w:val="000000"/>
          <w:lang w:val="en-US"/>
        </w:rPr>
        <w:t xml:space="preserve">was significantly lower than </w:t>
      </w:r>
      <w:r w:rsidR="00D323B4" w:rsidRPr="005011B1">
        <w:rPr>
          <w:color w:val="000000"/>
          <w:lang w:val="en-US"/>
        </w:rPr>
        <w:t xml:space="preserve">the </w:t>
      </w:r>
      <w:r w:rsidR="00057555" w:rsidRPr="005011B1">
        <w:rPr>
          <w:color w:val="000000"/>
          <w:lang w:val="en-US"/>
        </w:rPr>
        <w:t>service-life</w:t>
      </w:r>
      <w:r w:rsidR="00D323B4" w:rsidRPr="005011B1">
        <w:rPr>
          <w:color w:val="000000"/>
          <w:lang w:val="en-US"/>
        </w:rPr>
        <w:t xml:space="preserve"> </w:t>
      </w:r>
      <w:r w:rsidR="00B06316" w:rsidRPr="005011B1">
        <w:rPr>
          <w:color w:val="000000"/>
          <w:lang w:val="en-US"/>
        </w:rPr>
        <w:t xml:space="preserve">of </w:t>
      </w:r>
      <w:r w:rsidR="002C60E8" w:rsidRPr="005011B1">
        <w:rPr>
          <w:color w:val="000000"/>
          <w:lang w:val="en-US"/>
        </w:rPr>
        <w:t>ICD-VR and ICD-DR</w:t>
      </w:r>
      <w:r w:rsidR="00D323B4" w:rsidRPr="005011B1">
        <w:rPr>
          <w:color w:val="000000"/>
          <w:lang w:val="en-US"/>
        </w:rPr>
        <w:t xml:space="preserve"> devices</w:t>
      </w:r>
      <w:r w:rsidR="002C60E8" w:rsidRPr="005011B1">
        <w:rPr>
          <w:color w:val="000000"/>
          <w:lang w:val="en-US"/>
        </w:rPr>
        <w:t xml:space="preserve">, independently from the indication to </w:t>
      </w:r>
      <w:r w:rsidR="002E1856" w:rsidRPr="005011B1">
        <w:rPr>
          <w:color w:val="000000"/>
          <w:lang w:val="en-US"/>
        </w:rPr>
        <w:t xml:space="preserve">ICD </w:t>
      </w:r>
      <w:r w:rsidR="002C60E8" w:rsidRPr="005011B1">
        <w:rPr>
          <w:color w:val="000000"/>
          <w:lang w:val="en-US"/>
        </w:rPr>
        <w:t xml:space="preserve">implantation (Figure 1). </w:t>
      </w:r>
    </w:p>
    <w:p w14:paraId="1A575D11" w14:textId="65CF7759" w:rsidR="00C94D7C" w:rsidRPr="005011B1" w:rsidRDefault="00C94D7C" w:rsidP="008A2263">
      <w:pPr>
        <w:spacing w:line="480" w:lineRule="auto"/>
        <w:rPr>
          <w:color w:val="000000"/>
          <w:lang w:val="en-US"/>
        </w:rPr>
      </w:pPr>
      <w:r w:rsidRPr="005011B1">
        <w:rPr>
          <w:color w:val="000000"/>
          <w:lang w:val="en-US"/>
        </w:rPr>
        <w:t>Over the years, device</w:t>
      </w:r>
      <w:r w:rsidR="00317B6E" w:rsidRPr="005011B1">
        <w:rPr>
          <w:color w:val="000000"/>
          <w:lang w:val="en-US"/>
        </w:rPr>
        <w:t xml:space="preserve">’s </w:t>
      </w:r>
      <w:r w:rsidR="00057555" w:rsidRPr="005011B1">
        <w:rPr>
          <w:color w:val="000000"/>
          <w:lang w:val="en-US"/>
        </w:rPr>
        <w:t>service-life</w:t>
      </w:r>
      <w:r w:rsidRPr="005011B1">
        <w:rPr>
          <w:color w:val="000000"/>
          <w:lang w:val="en-US"/>
        </w:rPr>
        <w:t xml:space="preserve"> showed a</w:t>
      </w:r>
      <w:r w:rsidR="00237341" w:rsidRPr="005011B1">
        <w:rPr>
          <w:color w:val="000000"/>
          <w:lang w:val="en-US"/>
        </w:rPr>
        <w:t xml:space="preserve">n </w:t>
      </w:r>
      <w:r w:rsidRPr="005011B1">
        <w:rPr>
          <w:color w:val="000000"/>
          <w:lang w:val="en-US"/>
        </w:rPr>
        <w:t xml:space="preserve">increasing trend which </w:t>
      </w:r>
      <w:r w:rsidR="009201F6" w:rsidRPr="005011B1">
        <w:rPr>
          <w:color w:val="000000"/>
          <w:lang w:val="en-US"/>
        </w:rPr>
        <w:t>remains</w:t>
      </w:r>
      <w:r w:rsidRPr="005011B1">
        <w:rPr>
          <w:color w:val="000000"/>
          <w:lang w:val="en-US"/>
        </w:rPr>
        <w:t xml:space="preserve"> evident across the three </w:t>
      </w:r>
      <w:r w:rsidR="00317B6E" w:rsidRPr="005011B1">
        <w:rPr>
          <w:color w:val="000000"/>
          <w:lang w:val="en-US"/>
        </w:rPr>
        <w:t>types</w:t>
      </w:r>
      <w:r w:rsidRPr="005011B1">
        <w:rPr>
          <w:color w:val="000000"/>
          <w:lang w:val="en-US"/>
        </w:rPr>
        <w:t xml:space="preserve"> of </w:t>
      </w:r>
      <w:r w:rsidR="00317B6E" w:rsidRPr="005011B1">
        <w:rPr>
          <w:color w:val="000000"/>
          <w:lang w:val="en-US"/>
        </w:rPr>
        <w:t>ICD</w:t>
      </w:r>
      <w:r w:rsidR="00CB5FA6" w:rsidRPr="005011B1">
        <w:rPr>
          <w:color w:val="000000"/>
          <w:lang w:val="en-US"/>
        </w:rPr>
        <w:t xml:space="preserve"> and across the two </w:t>
      </w:r>
      <w:r w:rsidR="00317B6E" w:rsidRPr="005011B1">
        <w:rPr>
          <w:color w:val="000000"/>
          <w:lang w:val="en-US"/>
        </w:rPr>
        <w:t xml:space="preserve">main </w:t>
      </w:r>
      <w:r w:rsidR="00CB5FA6" w:rsidRPr="005011B1">
        <w:rPr>
          <w:color w:val="000000"/>
          <w:lang w:val="en-US"/>
        </w:rPr>
        <w:t>indications to implantation.</w:t>
      </w:r>
      <w:r w:rsidR="00F75E49" w:rsidRPr="005011B1">
        <w:rPr>
          <w:color w:val="000000"/>
          <w:lang w:val="en-US"/>
        </w:rPr>
        <w:t xml:space="preserve"> </w:t>
      </w:r>
      <w:r w:rsidR="002F75FB" w:rsidRPr="005011B1">
        <w:rPr>
          <w:color w:val="000000"/>
          <w:lang w:val="en-US"/>
        </w:rPr>
        <w:t>In particular</w:t>
      </w:r>
      <w:r w:rsidR="00317B6E" w:rsidRPr="005011B1">
        <w:rPr>
          <w:color w:val="000000"/>
          <w:lang w:val="en-US"/>
        </w:rPr>
        <w:t>,</w:t>
      </w:r>
      <w:r w:rsidR="00CB5FA6" w:rsidRPr="005011B1">
        <w:rPr>
          <w:color w:val="000000"/>
          <w:lang w:val="en-US"/>
        </w:rPr>
        <w:t xml:space="preserve"> </w:t>
      </w:r>
      <w:r w:rsidR="00F22BC7" w:rsidRPr="005011B1">
        <w:rPr>
          <w:color w:val="000000"/>
          <w:lang w:val="en-US"/>
        </w:rPr>
        <w:t xml:space="preserve">the </w:t>
      </w:r>
      <w:r w:rsidR="0035308C" w:rsidRPr="005011B1">
        <w:rPr>
          <w:color w:val="000000"/>
          <w:lang w:val="en-US"/>
        </w:rPr>
        <w:t xml:space="preserve">median </w:t>
      </w:r>
      <w:r w:rsidR="00057555" w:rsidRPr="005011B1">
        <w:rPr>
          <w:color w:val="000000"/>
          <w:lang w:val="en-US"/>
        </w:rPr>
        <w:t>service-life</w:t>
      </w:r>
      <w:r w:rsidR="00F22BC7" w:rsidRPr="005011B1">
        <w:rPr>
          <w:color w:val="000000"/>
          <w:lang w:val="en-US"/>
        </w:rPr>
        <w:t xml:space="preserve"> of the </w:t>
      </w:r>
      <w:r w:rsidR="00317B6E" w:rsidRPr="005011B1">
        <w:rPr>
          <w:color w:val="000000"/>
          <w:lang w:val="en-US"/>
        </w:rPr>
        <w:t>ICD replaced</w:t>
      </w:r>
      <w:r w:rsidR="00F22BC7" w:rsidRPr="005011B1">
        <w:rPr>
          <w:color w:val="000000"/>
          <w:lang w:val="en-US"/>
        </w:rPr>
        <w:t xml:space="preserve"> in 2007 was 45.8 months (IQR 28.6 months), whereas the median </w:t>
      </w:r>
      <w:r w:rsidR="00057555" w:rsidRPr="005011B1">
        <w:rPr>
          <w:color w:val="000000"/>
          <w:lang w:val="en-US"/>
        </w:rPr>
        <w:t>service-life</w:t>
      </w:r>
      <w:r w:rsidR="001B644C" w:rsidRPr="005011B1">
        <w:rPr>
          <w:color w:val="000000"/>
          <w:lang w:val="en-US"/>
        </w:rPr>
        <w:t xml:space="preserve"> </w:t>
      </w:r>
      <w:r w:rsidR="00F22BC7" w:rsidRPr="005011B1">
        <w:rPr>
          <w:color w:val="000000"/>
          <w:lang w:val="en-US"/>
        </w:rPr>
        <w:t xml:space="preserve">of the devices </w:t>
      </w:r>
      <w:r w:rsidR="00D27FDB" w:rsidRPr="005011B1">
        <w:rPr>
          <w:color w:val="000000"/>
          <w:lang w:val="en-US"/>
        </w:rPr>
        <w:t>replaced</w:t>
      </w:r>
      <w:r w:rsidR="00F22BC7" w:rsidRPr="005011B1">
        <w:rPr>
          <w:color w:val="000000"/>
          <w:lang w:val="en-US"/>
        </w:rPr>
        <w:t xml:space="preserve"> in 2016 was 68.1 months (IQR 27.7 months; p&lt;0,001) with a net increase of 22</w:t>
      </w:r>
      <w:r w:rsidR="009329E4">
        <w:rPr>
          <w:color w:val="000000"/>
          <w:lang w:val="en-US"/>
        </w:rPr>
        <w:t>.3</w:t>
      </w:r>
      <w:r w:rsidR="00F22BC7" w:rsidRPr="005011B1">
        <w:rPr>
          <w:color w:val="000000"/>
          <w:lang w:val="en-US"/>
        </w:rPr>
        <w:t xml:space="preserve"> months</w:t>
      </w:r>
      <w:r w:rsidR="009329E4">
        <w:rPr>
          <w:color w:val="000000"/>
          <w:lang w:val="en-US"/>
        </w:rPr>
        <w:t xml:space="preserve"> (relative increase 48.7</w:t>
      </w:r>
      <w:r w:rsidR="00D93961">
        <w:rPr>
          <w:color w:val="000000"/>
          <w:lang w:val="en-US"/>
        </w:rPr>
        <w:t xml:space="preserve">%). </w:t>
      </w:r>
      <w:r w:rsidR="00530309">
        <w:rPr>
          <w:color w:val="000000"/>
          <w:lang w:val="en-US"/>
        </w:rPr>
        <w:t xml:space="preserve"> </w:t>
      </w:r>
      <w:r w:rsidR="002E0FD9">
        <w:rPr>
          <w:color w:val="000000"/>
          <w:lang w:val="en-US"/>
        </w:rPr>
        <w:t>A</w:t>
      </w:r>
      <w:r w:rsidR="00530309">
        <w:rPr>
          <w:color w:val="000000"/>
          <w:lang w:val="en-US"/>
        </w:rPr>
        <w:t>ccording to ICD types, the net increase of longevity was respectively 32.6</w:t>
      </w:r>
      <w:r w:rsidR="009329E4">
        <w:rPr>
          <w:color w:val="000000"/>
          <w:lang w:val="en-US"/>
        </w:rPr>
        <w:t xml:space="preserve"> </w:t>
      </w:r>
      <w:r w:rsidR="002E0FD9">
        <w:rPr>
          <w:color w:val="000000"/>
          <w:lang w:val="en-US"/>
        </w:rPr>
        <w:t xml:space="preserve">months </w:t>
      </w:r>
      <w:r w:rsidR="009329E4">
        <w:rPr>
          <w:color w:val="000000"/>
          <w:lang w:val="en-US"/>
        </w:rPr>
        <w:t>(relative increase 59%)</w:t>
      </w:r>
      <w:r w:rsidR="002E0FD9">
        <w:rPr>
          <w:color w:val="000000"/>
          <w:lang w:val="en-US"/>
        </w:rPr>
        <w:t xml:space="preserve"> in ICD-VR treated patients</w:t>
      </w:r>
      <w:r w:rsidR="00530309">
        <w:rPr>
          <w:color w:val="000000"/>
          <w:lang w:val="en-US"/>
        </w:rPr>
        <w:t>, 28</w:t>
      </w:r>
      <w:r w:rsidR="009329E4">
        <w:rPr>
          <w:color w:val="000000"/>
          <w:lang w:val="en-US"/>
        </w:rPr>
        <w:t>.</w:t>
      </w:r>
      <w:r w:rsidR="00530309">
        <w:rPr>
          <w:color w:val="000000"/>
          <w:lang w:val="en-US"/>
        </w:rPr>
        <w:t>7</w:t>
      </w:r>
      <w:r w:rsidR="009329E4">
        <w:rPr>
          <w:color w:val="000000"/>
          <w:lang w:val="en-US"/>
        </w:rPr>
        <w:t xml:space="preserve"> </w:t>
      </w:r>
      <w:r w:rsidR="002E0FD9">
        <w:rPr>
          <w:color w:val="000000"/>
          <w:lang w:val="en-US"/>
        </w:rPr>
        <w:t xml:space="preserve">months </w:t>
      </w:r>
      <w:r w:rsidR="009329E4">
        <w:rPr>
          <w:color w:val="000000"/>
          <w:lang w:val="en-US"/>
        </w:rPr>
        <w:t>(relative increase 59.4%)</w:t>
      </w:r>
      <w:r w:rsidR="00530309">
        <w:rPr>
          <w:color w:val="000000"/>
          <w:lang w:val="en-US"/>
        </w:rPr>
        <w:t xml:space="preserve"> </w:t>
      </w:r>
      <w:r w:rsidR="002E0FD9">
        <w:rPr>
          <w:color w:val="000000"/>
          <w:lang w:val="en-US"/>
        </w:rPr>
        <w:t xml:space="preserve">in ICD-DR treated patients, </w:t>
      </w:r>
      <w:r w:rsidR="00530309">
        <w:rPr>
          <w:color w:val="000000"/>
          <w:lang w:val="en-US"/>
        </w:rPr>
        <w:t>and 25</w:t>
      </w:r>
      <w:r w:rsidR="009329E4">
        <w:rPr>
          <w:color w:val="000000"/>
          <w:lang w:val="en-US"/>
        </w:rPr>
        <w:t>.</w:t>
      </w:r>
      <w:r w:rsidR="00530309">
        <w:rPr>
          <w:color w:val="000000"/>
          <w:lang w:val="en-US"/>
        </w:rPr>
        <w:t>1 months</w:t>
      </w:r>
      <w:r w:rsidR="009329E4">
        <w:rPr>
          <w:color w:val="000000"/>
          <w:lang w:val="en-US"/>
        </w:rPr>
        <w:t xml:space="preserve"> (</w:t>
      </w:r>
      <w:r w:rsidR="00640BA1">
        <w:rPr>
          <w:color w:val="000000"/>
          <w:lang w:val="en-US"/>
        </w:rPr>
        <w:t xml:space="preserve">relative increase </w:t>
      </w:r>
      <w:r w:rsidR="009329E4">
        <w:rPr>
          <w:color w:val="000000"/>
          <w:lang w:val="en-US"/>
        </w:rPr>
        <w:t>68,9%)</w:t>
      </w:r>
      <w:r w:rsidR="00530309">
        <w:rPr>
          <w:color w:val="000000"/>
          <w:lang w:val="en-US"/>
        </w:rPr>
        <w:t xml:space="preserve"> </w:t>
      </w:r>
      <w:r w:rsidR="00D93961">
        <w:rPr>
          <w:color w:val="000000"/>
          <w:lang w:val="en-US"/>
        </w:rPr>
        <w:t xml:space="preserve">in </w:t>
      </w:r>
      <w:r w:rsidR="00530309">
        <w:rPr>
          <w:color w:val="000000"/>
          <w:lang w:val="en-US"/>
        </w:rPr>
        <w:t xml:space="preserve">CRT-D </w:t>
      </w:r>
      <w:r w:rsidR="002E0FD9">
        <w:rPr>
          <w:color w:val="000000"/>
          <w:lang w:val="en-US"/>
        </w:rPr>
        <w:t>group</w:t>
      </w:r>
      <w:r w:rsidR="00B13049">
        <w:rPr>
          <w:color w:val="000000"/>
          <w:lang w:val="en-US"/>
        </w:rPr>
        <w:t xml:space="preserve"> </w:t>
      </w:r>
      <w:r w:rsidR="00200F46" w:rsidRPr="005011B1">
        <w:rPr>
          <w:color w:val="000000"/>
          <w:lang w:val="en-US"/>
        </w:rPr>
        <w:t>(</w:t>
      </w:r>
      <w:r w:rsidR="00B13049">
        <w:rPr>
          <w:color w:val="000000"/>
          <w:lang w:val="en-US"/>
        </w:rPr>
        <w:t>f</w:t>
      </w:r>
      <w:r w:rsidR="00200F46" w:rsidRPr="005011B1">
        <w:rPr>
          <w:color w:val="000000"/>
          <w:lang w:val="en-US"/>
        </w:rPr>
        <w:t>igure 2, figure 3 and supplementary table 1)</w:t>
      </w:r>
      <w:r w:rsidR="00B13049">
        <w:rPr>
          <w:color w:val="000000"/>
          <w:lang w:val="en-US"/>
        </w:rPr>
        <w:t>.</w:t>
      </w:r>
    </w:p>
    <w:p w14:paraId="249A2820" w14:textId="6680ACA5" w:rsidR="008A2263" w:rsidRPr="005011B1" w:rsidRDefault="00A74479" w:rsidP="00795821">
      <w:pPr>
        <w:spacing w:line="480" w:lineRule="auto"/>
        <w:rPr>
          <w:color w:val="000000"/>
          <w:lang w:val="en-US"/>
        </w:rPr>
      </w:pPr>
      <w:r w:rsidRPr="005011B1">
        <w:rPr>
          <w:color w:val="000000"/>
          <w:lang w:val="en-US"/>
        </w:rPr>
        <w:t xml:space="preserve">The </w:t>
      </w:r>
      <w:r w:rsidR="00615B68" w:rsidRPr="005011B1">
        <w:rPr>
          <w:color w:val="000000"/>
          <w:lang w:val="en-US"/>
        </w:rPr>
        <w:t>main replacement</w:t>
      </w:r>
      <w:r w:rsidRPr="005011B1">
        <w:rPr>
          <w:color w:val="000000"/>
          <w:lang w:val="en-US"/>
        </w:rPr>
        <w:t xml:space="preserve"> causes are summarized in </w:t>
      </w:r>
      <w:r w:rsidR="001B644C" w:rsidRPr="005011B1">
        <w:rPr>
          <w:color w:val="000000"/>
          <w:lang w:val="en-US"/>
        </w:rPr>
        <w:t>T</w:t>
      </w:r>
      <w:r w:rsidRPr="005011B1">
        <w:rPr>
          <w:color w:val="000000"/>
          <w:lang w:val="en-US"/>
        </w:rPr>
        <w:t xml:space="preserve">able </w:t>
      </w:r>
      <w:r w:rsidR="000339E0" w:rsidRPr="005011B1">
        <w:rPr>
          <w:color w:val="000000"/>
          <w:lang w:val="en-US"/>
        </w:rPr>
        <w:t>3</w:t>
      </w:r>
      <w:r w:rsidRPr="005011B1">
        <w:rPr>
          <w:color w:val="000000"/>
          <w:lang w:val="en-US"/>
        </w:rPr>
        <w:t xml:space="preserve">. </w:t>
      </w:r>
      <w:proofErr w:type="gramStart"/>
      <w:r w:rsidRPr="005011B1">
        <w:rPr>
          <w:color w:val="000000"/>
          <w:lang w:val="en-US"/>
        </w:rPr>
        <w:t>The vast majority of</w:t>
      </w:r>
      <w:proofErr w:type="gramEnd"/>
      <w:r w:rsidRPr="005011B1">
        <w:rPr>
          <w:color w:val="000000"/>
          <w:lang w:val="en-US"/>
        </w:rPr>
        <w:t xml:space="preserve"> patients underwent </w:t>
      </w:r>
      <w:r w:rsidR="00D41CEB" w:rsidRPr="005011B1">
        <w:rPr>
          <w:color w:val="000000"/>
          <w:lang w:val="en-US"/>
        </w:rPr>
        <w:t>replacement because</w:t>
      </w:r>
      <w:r w:rsidRPr="005011B1">
        <w:rPr>
          <w:color w:val="000000"/>
          <w:lang w:val="en-US"/>
        </w:rPr>
        <w:t xml:space="preserve"> of battery end of life</w:t>
      </w:r>
      <w:r w:rsidR="00615B68" w:rsidRPr="005011B1">
        <w:rPr>
          <w:color w:val="000000"/>
          <w:lang w:val="en-US"/>
        </w:rPr>
        <w:t>,</w:t>
      </w:r>
      <w:r w:rsidRPr="005011B1">
        <w:rPr>
          <w:color w:val="000000"/>
          <w:lang w:val="en-US"/>
        </w:rPr>
        <w:t xml:space="preserve"> in particular in the case of CRT-Ds (over 91% both in primary and secondary prevention). </w:t>
      </w:r>
      <w:r w:rsidR="001B644C" w:rsidRPr="005011B1">
        <w:rPr>
          <w:color w:val="000000"/>
          <w:lang w:val="en-US"/>
        </w:rPr>
        <w:t>The proportion of r</w:t>
      </w:r>
      <w:r w:rsidR="00E310FC" w:rsidRPr="005011B1">
        <w:rPr>
          <w:color w:val="000000"/>
          <w:lang w:val="en-US"/>
        </w:rPr>
        <w:t>eplacement</w:t>
      </w:r>
      <w:r w:rsidRPr="005011B1">
        <w:rPr>
          <w:color w:val="000000"/>
          <w:lang w:val="en-US"/>
        </w:rPr>
        <w:t>s</w:t>
      </w:r>
      <w:r w:rsidR="00D27FDB" w:rsidRPr="005011B1">
        <w:rPr>
          <w:color w:val="000000"/>
          <w:lang w:val="en-US"/>
        </w:rPr>
        <w:t>/</w:t>
      </w:r>
      <w:proofErr w:type="spellStart"/>
      <w:r w:rsidR="00D27FDB" w:rsidRPr="005011B1">
        <w:rPr>
          <w:color w:val="000000"/>
          <w:lang w:val="en-US"/>
        </w:rPr>
        <w:t>explantations</w:t>
      </w:r>
      <w:proofErr w:type="spellEnd"/>
      <w:r w:rsidRPr="005011B1">
        <w:rPr>
          <w:color w:val="000000"/>
          <w:lang w:val="en-US"/>
        </w:rPr>
        <w:t xml:space="preserve"> for recalls and </w:t>
      </w:r>
      <w:r w:rsidR="00251846" w:rsidRPr="005011B1">
        <w:rPr>
          <w:color w:val="000000"/>
          <w:lang w:val="en-US"/>
        </w:rPr>
        <w:t>infections/</w:t>
      </w:r>
      <w:r w:rsidR="00451201">
        <w:rPr>
          <w:color w:val="000000"/>
          <w:lang w:val="en-US"/>
        </w:rPr>
        <w:t>erosion</w:t>
      </w:r>
      <w:r w:rsidRPr="005011B1">
        <w:rPr>
          <w:color w:val="000000"/>
          <w:lang w:val="en-US"/>
        </w:rPr>
        <w:t xml:space="preserve"> </w:t>
      </w:r>
      <w:r w:rsidR="001B644C" w:rsidRPr="005011B1">
        <w:rPr>
          <w:color w:val="000000"/>
          <w:lang w:val="en-US"/>
        </w:rPr>
        <w:t xml:space="preserve">was </w:t>
      </w:r>
      <w:r w:rsidR="009D2673" w:rsidRPr="005011B1">
        <w:rPr>
          <w:color w:val="000000"/>
          <w:lang w:val="en-US"/>
        </w:rPr>
        <w:t xml:space="preserve">low and </w:t>
      </w:r>
      <w:r w:rsidRPr="005011B1">
        <w:rPr>
          <w:color w:val="000000"/>
          <w:lang w:val="en-US"/>
        </w:rPr>
        <w:t>marginal</w:t>
      </w:r>
      <w:r w:rsidR="00251846" w:rsidRPr="005011B1">
        <w:rPr>
          <w:color w:val="000000"/>
          <w:lang w:val="en-US"/>
        </w:rPr>
        <w:t xml:space="preserve">. Conversely, </w:t>
      </w:r>
      <w:r w:rsidR="001B644C" w:rsidRPr="005011B1">
        <w:rPr>
          <w:color w:val="000000"/>
          <w:lang w:val="en-US"/>
        </w:rPr>
        <w:t>the prop</w:t>
      </w:r>
      <w:r w:rsidR="00B06316" w:rsidRPr="005011B1">
        <w:rPr>
          <w:color w:val="000000"/>
          <w:lang w:val="en-US"/>
        </w:rPr>
        <w:t>o</w:t>
      </w:r>
      <w:r w:rsidR="001B644C" w:rsidRPr="005011B1">
        <w:rPr>
          <w:color w:val="000000"/>
          <w:lang w:val="en-US"/>
        </w:rPr>
        <w:t xml:space="preserve">rtion of </w:t>
      </w:r>
      <w:r w:rsidR="00E310FC" w:rsidRPr="005011B1">
        <w:rPr>
          <w:color w:val="000000"/>
          <w:lang w:val="en-US"/>
        </w:rPr>
        <w:t>replacement</w:t>
      </w:r>
      <w:r w:rsidR="00251846" w:rsidRPr="005011B1">
        <w:rPr>
          <w:color w:val="000000"/>
          <w:lang w:val="en-US"/>
        </w:rPr>
        <w:t xml:space="preserve">s for device’s </w:t>
      </w:r>
      <w:r w:rsidR="006E596C" w:rsidRPr="005011B1">
        <w:rPr>
          <w:color w:val="000000"/>
          <w:lang w:val="en-US"/>
        </w:rPr>
        <w:t xml:space="preserve">CRT </w:t>
      </w:r>
      <w:r w:rsidR="00251846" w:rsidRPr="005011B1">
        <w:rPr>
          <w:color w:val="000000"/>
          <w:lang w:val="en-US"/>
        </w:rPr>
        <w:t xml:space="preserve">upgrading was </w:t>
      </w:r>
      <w:r w:rsidR="001B644C" w:rsidRPr="005011B1">
        <w:rPr>
          <w:color w:val="000000"/>
          <w:lang w:val="en-US"/>
        </w:rPr>
        <w:t xml:space="preserve">important, in the range of </w:t>
      </w:r>
      <w:r w:rsidR="002432A8" w:rsidRPr="005011B1">
        <w:rPr>
          <w:color w:val="000000"/>
          <w:lang w:val="en-US"/>
        </w:rPr>
        <w:t>around 10%</w:t>
      </w:r>
      <w:r w:rsidR="00442D53" w:rsidRPr="005011B1">
        <w:rPr>
          <w:color w:val="000000"/>
          <w:lang w:val="en-US"/>
        </w:rPr>
        <w:t>,</w:t>
      </w:r>
      <w:r w:rsidR="00251846" w:rsidRPr="005011B1">
        <w:rPr>
          <w:color w:val="000000"/>
          <w:lang w:val="en-US"/>
        </w:rPr>
        <w:t xml:space="preserve"> but was obviously limited to ICD-VR and ICD-DR</w:t>
      </w:r>
      <w:r w:rsidR="002432A8" w:rsidRPr="005011B1">
        <w:rPr>
          <w:color w:val="000000"/>
          <w:lang w:val="en-US"/>
        </w:rPr>
        <w:t xml:space="preserve"> systems</w:t>
      </w:r>
      <w:r w:rsidR="00251846" w:rsidRPr="005011B1">
        <w:rPr>
          <w:color w:val="000000"/>
          <w:lang w:val="en-US"/>
        </w:rPr>
        <w:t>.</w:t>
      </w:r>
    </w:p>
    <w:p w14:paraId="49020A06" w14:textId="716C14DF" w:rsidR="006E47AF" w:rsidRPr="005011B1" w:rsidRDefault="006E47AF" w:rsidP="00795821">
      <w:pPr>
        <w:spacing w:line="480" w:lineRule="auto"/>
        <w:rPr>
          <w:color w:val="000000"/>
          <w:lang w:val="en-US"/>
        </w:rPr>
      </w:pPr>
      <w:bookmarkStart w:id="1" w:name="OLE_LINK1"/>
      <w:bookmarkStart w:id="2" w:name="OLE_LINK2"/>
      <w:r w:rsidRPr="005011B1">
        <w:rPr>
          <w:color w:val="000000"/>
          <w:lang w:val="en-US"/>
        </w:rPr>
        <w:t>Over the years there was a significant</w:t>
      </w:r>
      <w:r w:rsidR="000E1DA6" w:rsidRPr="005011B1">
        <w:rPr>
          <w:color w:val="000000"/>
          <w:lang w:val="en-US"/>
        </w:rPr>
        <w:t xml:space="preserve"> (p&lt;0,001)</w:t>
      </w:r>
      <w:r w:rsidRPr="005011B1">
        <w:rPr>
          <w:color w:val="000000"/>
          <w:lang w:val="en-US"/>
        </w:rPr>
        <w:t xml:space="preserve"> reduction of </w:t>
      </w:r>
      <w:r w:rsidR="00442D53" w:rsidRPr="005011B1">
        <w:rPr>
          <w:color w:val="000000"/>
          <w:lang w:val="en-US"/>
        </w:rPr>
        <w:t>replacement</w:t>
      </w:r>
      <w:r w:rsidR="00B06316" w:rsidRPr="005011B1">
        <w:rPr>
          <w:color w:val="000000"/>
          <w:lang w:val="en-US"/>
        </w:rPr>
        <w:t xml:space="preserve"> for</w:t>
      </w:r>
      <w:r w:rsidRPr="005011B1">
        <w:rPr>
          <w:color w:val="000000"/>
          <w:lang w:val="en-US"/>
        </w:rPr>
        <w:t xml:space="preserve"> recall</w:t>
      </w:r>
      <w:r w:rsidR="002432A8" w:rsidRPr="005011B1">
        <w:rPr>
          <w:color w:val="000000"/>
          <w:lang w:val="en-US"/>
        </w:rPr>
        <w:t>s</w:t>
      </w:r>
      <w:r w:rsidRPr="005011B1">
        <w:rPr>
          <w:color w:val="000000"/>
          <w:lang w:val="en-US"/>
        </w:rPr>
        <w:t xml:space="preserve">, </w:t>
      </w:r>
      <w:r w:rsidR="00451201">
        <w:rPr>
          <w:color w:val="000000"/>
          <w:lang w:val="en-US"/>
        </w:rPr>
        <w:t>erosion</w:t>
      </w:r>
      <w:r w:rsidRPr="005011B1">
        <w:rPr>
          <w:color w:val="000000"/>
          <w:lang w:val="en-US"/>
        </w:rPr>
        <w:t>/infection</w:t>
      </w:r>
      <w:r w:rsidR="002432A8" w:rsidRPr="005011B1">
        <w:rPr>
          <w:color w:val="000000"/>
          <w:lang w:val="en-US"/>
        </w:rPr>
        <w:t>s</w:t>
      </w:r>
      <w:r w:rsidRPr="005011B1">
        <w:rPr>
          <w:color w:val="000000"/>
          <w:lang w:val="en-US"/>
        </w:rPr>
        <w:t xml:space="preserve"> and </w:t>
      </w:r>
      <w:r w:rsidR="0035503D" w:rsidRPr="005011B1">
        <w:rPr>
          <w:color w:val="000000"/>
          <w:lang w:val="en-US"/>
        </w:rPr>
        <w:t xml:space="preserve">upgrading </w:t>
      </w:r>
      <w:bookmarkEnd w:id="1"/>
      <w:bookmarkEnd w:id="2"/>
      <w:r w:rsidR="003D18CB" w:rsidRPr="005011B1">
        <w:rPr>
          <w:color w:val="000000"/>
          <w:lang w:val="en-US"/>
        </w:rPr>
        <w:t>and, consequently</w:t>
      </w:r>
      <w:r w:rsidR="002E2DD1" w:rsidRPr="005011B1">
        <w:rPr>
          <w:color w:val="000000"/>
          <w:lang w:val="en-US"/>
        </w:rPr>
        <w:t>,</w:t>
      </w:r>
      <w:r w:rsidR="009D2673" w:rsidRPr="005011B1">
        <w:rPr>
          <w:color w:val="000000"/>
          <w:lang w:val="en-US"/>
        </w:rPr>
        <w:t xml:space="preserve"> a</w:t>
      </w:r>
      <w:r w:rsidR="0035503D" w:rsidRPr="005011B1">
        <w:rPr>
          <w:color w:val="000000"/>
          <w:lang w:val="en-US"/>
        </w:rPr>
        <w:t xml:space="preserve"> </w:t>
      </w:r>
      <w:r w:rsidR="002432A8" w:rsidRPr="005011B1">
        <w:rPr>
          <w:color w:val="000000"/>
          <w:lang w:val="en-US"/>
        </w:rPr>
        <w:t xml:space="preserve">relative </w:t>
      </w:r>
      <w:r w:rsidR="0035503D" w:rsidRPr="005011B1">
        <w:rPr>
          <w:color w:val="000000"/>
          <w:lang w:val="en-US"/>
        </w:rPr>
        <w:t xml:space="preserve">increase of </w:t>
      </w:r>
      <w:r w:rsidR="002432A8" w:rsidRPr="005011B1">
        <w:rPr>
          <w:color w:val="000000"/>
          <w:lang w:val="en-US"/>
        </w:rPr>
        <w:t xml:space="preserve">replacements </w:t>
      </w:r>
      <w:r w:rsidR="0035503D" w:rsidRPr="005011B1">
        <w:rPr>
          <w:color w:val="000000"/>
          <w:lang w:val="en-US"/>
        </w:rPr>
        <w:t xml:space="preserve">for battery end of life </w:t>
      </w:r>
      <w:r w:rsidR="009D2673" w:rsidRPr="005011B1">
        <w:rPr>
          <w:color w:val="000000"/>
          <w:lang w:val="en-US"/>
        </w:rPr>
        <w:t xml:space="preserve">was documented </w:t>
      </w:r>
      <w:r w:rsidR="0035503D" w:rsidRPr="005011B1">
        <w:rPr>
          <w:color w:val="000000"/>
          <w:lang w:val="en-US"/>
        </w:rPr>
        <w:t xml:space="preserve">(Table </w:t>
      </w:r>
      <w:r w:rsidR="000339E0" w:rsidRPr="005011B1">
        <w:rPr>
          <w:color w:val="000000"/>
          <w:lang w:val="en-US"/>
        </w:rPr>
        <w:t>4</w:t>
      </w:r>
      <w:r w:rsidR="0035503D" w:rsidRPr="005011B1">
        <w:rPr>
          <w:color w:val="000000"/>
          <w:lang w:val="en-US"/>
        </w:rPr>
        <w:t>).</w:t>
      </w:r>
    </w:p>
    <w:p w14:paraId="6E475D12" w14:textId="77777777" w:rsidR="002432A8" w:rsidRPr="005011B1" w:rsidRDefault="002432A8" w:rsidP="00795821">
      <w:pPr>
        <w:spacing w:line="480" w:lineRule="auto"/>
        <w:rPr>
          <w:color w:val="000000"/>
          <w:lang w:val="en-US"/>
        </w:rPr>
      </w:pPr>
    </w:p>
    <w:p w14:paraId="42CA7406" w14:textId="77777777" w:rsidR="005932A2" w:rsidRPr="005011B1" w:rsidRDefault="005932A2" w:rsidP="00795821">
      <w:pPr>
        <w:spacing w:line="480" w:lineRule="auto"/>
        <w:rPr>
          <w:color w:val="000000"/>
          <w:lang w:val="en-US"/>
        </w:rPr>
      </w:pPr>
      <w:r w:rsidRPr="005011B1">
        <w:rPr>
          <w:color w:val="000000"/>
          <w:lang w:val="en-US"/>
        </w:rPr>
        <w:lastRenderedPageBreak/>
        <w:t>DISCUSSION</w:t>
      </w:r>
    </w:p>
    <w:p w14:paraId="6BD1E703" w14:textId="5A69B488" w:rsidR="005877F4" w:rsidRPr="005011B1" w:rsidRDefault="00B371A2" w:rsidP="00795821">
      <w:pPr>
        <w:spacing w:line="480" w:lineRule="auto"/>
        <w:rPr>
          <w:color w:val="000000"/>
          <w:lang w:val="en-US"/>
        </w:rPr>
      </w:pPr>
      <w:r w:rsidRPr="005011B1">
        <w:rPr>
          <w:color w:val="000000"/>
          <w:lang w:val="en-US"/>
        </w:rPr>
        <w:t xml:space="preserve">Data from our </w:t>
      </w:r>
      <w:r w:rsidR="009D2673" w:rsidRPr="005011B1">
        <w:rPr>
          <w:color w:val="000000"/>
          <w:lang w:val="en-US"/>
        </w:rPr>
        <w:t>large single-nation</w:t>
      </w:r>
      <w:r w:rsidRPr="005011B1">
        <w:rPr>
          <w:color w:val="000000"/>
          <w:lang w:val="en-US"/>
        </w:rPr>
        <w:t xml:space="preserve"> population</w:t>
      </w:r>
      <w:r w:rsidR="00494703" w:rsidRPr="005011B1">
        <w:rPr>
          <w:color w:val="000000"/>
          <w:lang w:val="en-US"/>
        </w:rPr>
        <w:t xml:space="preserve">, including more than 29000 replacements, </w:t>
      </w:r>
      <w:r w:rsidRPr="005011B1">
        <w:rPr>
          <w:color w:val="000000"/>
          <w:lang w:val="en-US"/>
        </w:rPr>
        <w:t xml:space="preserve">showed </w:t>
      </w:r>
      <w:r w:rsidR="00516203" w:rsidRPr="005011B1">
        <w:rPr>
          <w:color w:val="000000"/>
          <w:lang w:val="en-US"/>
        </w:rPr>
        <w:t xml:space="preserve">that </w:t>
      </w:r>
      <w:r w:rsidR="003D18CB" w:rsidRPr="005011B1">
        <w:rPr>
          <w:color w:val="000000"/>
          <w:lang w:val="en-US"/>
        </w:rPr>
        <w:t>ICD service</w:t>
      </w:r>
      <w:r w:rsidR="00057555" w:rsidRPr="005011B1">
        <w:rPr>
          <w:color w:val="000000"/>
          <w:lang w:val="en-US"/>
        </w:rPr>
        <w:t>-life</w:t>
      </w:r>
      <w:r w:rsidR="00180234" w:rsidRPr="005011B1">
        <w:rPr>
          <w:color w:val="000000"/>
          <w:lang w:val="en-US"/>
        </w:rPr>
        <w:t>, independently from ICD type, indication and settings,</w:t>
      </w:r>
      <w:r w:rsidR="00F10103" w:rsidRPr="005011B1">
        <w:rPr>
          <w:color w:val="000000"/>
          <w:lang w:val="en-US"/>
        </w:rPr>
        <w:t xml:space="preserve"> </w:t>
      </w:r>
      <w:r w:rsidR="005877F4" w:rsidRPr="005011B1">
        <w:rPr>
          <w:color w:val="000000"/>
          <w:lang w:val="en-US"/>
        </w:rPr>
        <w:t>significantly</w:t>
      </w:r>
      <w:r w:rsidR="00516203" w:rsidRPr="005011B1">
        <w:rPr>
          <w:color w:val="000000"/>
          <w:lang w:val="en-US"/>
        </w:rPr>
        <w:t xml:space="preserve"> i</w:t>
      </w:r>
      <w:r w:rsidR="007E439A" w:rsidRPr="005011B1">
        <w:rPr>
          <w:color w:val="000000"/>
          <w:lang w:val="en-US"/>
        </w:rPr>
        <w:t>mproved</w:t>
      </w:r>
      <w:r w:rsidR="00B06316" w:rsidRPr="005011B1">
        <w:rPr>
          <w:color w:val="000000"/>
          <w:lang w:val="en-US"/>
        </w:rPr>
        <w:t xml:space="preserve"> </w:t>
      </w:r>
      <w:r w:rsidR="00913803" w:rsidRPr="005011B1">
        <w:rPr>
          <w:color w:val="000000"/>
          <w:lang w:val="en-US"/>
        </w:rPr>
        <w:t xml:space="preserve">over </w:t>
      </w:r>
      <w:r w:rsidR="003E344A" w:rsidRPr="005011B1">
        <w:rPr>
          <w:color w:val="000000"/>
          <w:lang w:val="en-US"/>
        </w:rPr>
        <w:t>ten-year</w:t>
      </w:r>
      <w:r w:rsidR="00913803" w:rsidRPr="005011B1">
        <w:rPr>
          <w:color w:val="000000"/>
          <w:lang w:val="en-US"/>
        </w:rPr>
        <w:t xml:space="preserve"> period</w:t>
      </w:r>
      <w:r w:rsidR="005877F4" w:rsidRPr="005011B1">
        <w:rPr>
          <w:color w:val="000000"/>
          <w:lang w:val="en-US"/>
        </w:rPr>
        <w:t xml:space="preserve"> and that </w:t>
      </w:r>
      <w:r w:rsidR="005D34D8" w:rsidRPr="005011B1">
        <w:rPr>
          <w:color w:val="000000"/>
          <w:lang w:val="en-US"/>
        </w:rPr>
        <w:t xml:space="preserve">the causes of </w:t>
      </w:r>
      <w:r w:rsidR="00F10103" w:rsidRPr="005011B1">
        <w:rPr>
          <w:color w:val="000000"/>
          <w:lang w:val="en-US"/>
        </w:rPr>
        <w:t>replacement</w:t>
      </w:r>
      <w:r w:rsidR="005D34D8" w:rsidRPr="005011B1">
        <w:rPr>
          <w:color w:val="000000"/>
          <w:lang w:val="en-US"/>
        </w:rPr>
        <w:t xml:space="preserve"> evolved with a striking reduction of </w:t>
      </w:r>
      <w:r w:rsidR="00F10103" w:rsidRPr="005011B1">
        <w:rPr>
          <w:color w:val="000000"/>
          <w:lang w:val="en-US"/>
        </w:rPr>
        <w:t xml:space="preserve">interventions </w:t>
      </w:r>
      <w:r w:rsidR="005D34D8" w:rsidRPr="005011B1">
        <w:rPr>
          <w:color w:val="000000"/>
          <w:lang w:val="en-US"/>
        </w:rPr>
        <w:t xml:space="preserve"> for </w:t>
      </w:r>
      <w:r w:rsidR="006E596C" w:rsidRPr="005011B1">
        <w:rPr>
          <w:color w:val="000000"/>
          <w:lang w:val="en-US"/>
        </w:rPr>
        <w:t xml:space="preserve">CRT </w:t>
      </w:r>
      <w:r w:rsidR="005D34D8" w:rsidRPr="005011B1">
        <w:rPr>
          <w:color w:val="000000"/>
          <w:lang w:val="en-US"/>
        </w:rPr>
        <w:t>upgrading and infection/</w:t>
      </w:r>
      <w:r w:rsidR="00451201">
        <w:rPr>
          <w:color w:val="000000"/>
          <w:lang w:val="en-US"/>
        </w:rPr>
        <w:t>erosion</w:t>
      </w:r>
      <w:r w:rsidR="005D34D8" w:rsidRPr="005011B1">
        <w:rPr>
          <w:color w:val="000000"/>
          <w:lang w:val="en-US"/>
        </w:rPr>
        <w:t xml:space="preserve"> in </w:t>
      </w:r>
      <w:r w:rsidR="00E33308" w:rsidRPr="005011B1">
        <w:rPr>
          <w:color w:val="000000"/>
          <w:lang w:val="en-US"/>
        </w:rPr>
        <w:t>favor</w:t>
      </w:r>
      <w:r w:rsidR="005D34D8" w:rsidRPr="005011B1">
        <w:rPr>
          <w:color w:val="000000"/>
          <w:lang w:val="en-US"/>
        </w:rPr>
        <w:t xml:space="preserve"> of </w:t>
      </w:r>
      <w:r w:rsidR="00D27FDB" w:rsidRPr="005011B1">
        <w:rPr>
          <w:color w:val="000000"/>
          <w:lang w:val="en-US"/>
        </w:rPr>
        <w:t xml:space="preserve">interventions for </w:t>
      </w:r>
      <w:r w:rsidR="005D34D8" w:rsidRPr="005011B1">
        <w:rPr>
          <w:color w:val="000000"/>
          <w:lang w:val="en-US"/>
        </w:rPr>
        <w:t xml:space="preserve">battery end of life. </w:t>
      </w:r>
      <w:r w:rsidR="00D87F2B">
        <w:rPr>
          <w:color w:val="000000"/>
          <w:lang w:val="en-US"/>
        </w:rPr>
        <w:t xml:space="preserve">The relative increase in device longevity across the years was particularly evident for CRT-D, a subset of high-cost </w:t>
      </w:r>
      <w:r w:rsidR="00ED3581">
        <w:rPr>
          <w:color w:val="000000"/>
          <w:lang w:val="en-US"/>
        </w:rPr>
        <w:t xml:space="preserve">and more </w:t>
      </w:r>
      <w:r w:rsidR="00D87F2B">
        <w:rPr>
          <w:color w:val="000000"/>
          <w:lang w:val="en-US"/>
        </w:rPr>
        <w:t>sophisticated devices w</w:t>
      </w:r>
      <w:r w:rsidR="003C247B">
        <w:rPr>
          <w:color w:val="000000"/>
          <w:lang w:val="en-US"/>
        </w:rPr>
        <w:t>ith high</w:t>
      </w:r>
      <w:r w:rsidR="00D87F2B">
        <w:rPr>
          <w:color w:val="000000"/>
          <w:lang w:val="en-US"/>
        </w:rPr>
        <w:t xml:space="preserve"> technological evolution.</w:t>
      </w:r>
    </w:p>
    <w:p w14:paraId="6E986050" w14:textId="77777777" w:rsidR="00F10103" w:rsidRPr="00B81699" w:rsidRDefault="005877F4" w:rsidP="456EB3F9">
      <w:pPr>
        <w:spacing w:line="480" w:lineRule="auto"/>
        <w:rPr>
          <w:color w:val="FF0000"/>
          <w:lang w:val="en-US"/>
        </w:rPr>
      </w:pPr>
      <w:r w:rsidRPr="005011B1">
        <w:rPr>
          <w:color w:val="000000"/>
          <w:lang w:val="en-US"/>
        </w:rPr>
        <w:t xml:space="preserve">The importance of increasing the longevity of ICDs appears obvious </w:t>
      </w:r>
      <w:r w:rsidR="00F10103" w:rsidRPr="005011B1">
        <w:rPr>
          <w:color w:val="000000"/>
          <w:lang w:val="en-US"/>
        </w:rPr>
        <w:t>both</w:t>
      </w:r>
      <w:r w:rsidRPr="005011B1">
        <w:rPr>
          <w:color w:val="000000"/>
          <w:lang w:val="en-US"/>
        </w:rPr>
        <w:t xml:space="preserve"> in the setting of purely electric diseases, a clinical condition where patients survival may be similar </w:t>
      </w:r>
      <w:r w:rsidR="001960EC" w:rsidRPr="005011B1">
        <w:rPr>
          <w:color w:val="000000"/>
          <w:lang w:val="en-US"/>
        </w:rPr>
        <w:t>to</w:t>
      </w:r>
      <w:r w:rsidRPr="005011B1">
        <w:rPr>
          <w:color w:val="000000"/>
          <w:lang w:val="en-US"/>
        </w:rPr>
        <w:t xml:space="preserve"> the normal population, and in the cohort of patients with left ventricular dysfunction and heart failure</w:t>
      </w:r>
      <w:r w:rsidR="006D09D1" w:rsidRPr="005011B1">
        <w:rPr>
          <w:color w:val="000000"/>
          <w:lang w:val="en-US"/>
        </w:rPr>
        <w:t>,</w:t>
      </w:r>
      <w:r w:rsidRPr="005011B1">
        <w:rPr>
          <w:color w:val="000000"/>
          <w:lang w:val="en-US"/>
        </w:rPr>
        <w:t xml:space="preserve"> because long-term outcome of these patients has been recently improved with new pharmacologic agents and appropriate</w:t>
      </w:r>
      <w:r w:rsidR="00F10103" w:rsidRPr="005011B1">
        <w:rPr>
          <w:color w:val="000000"/>
          <w:lang w:val="en-US"/>
        </w:rPr>
        <w:t xml:space="preserve"> clinical management</w:t>
      </w:r>
      <w:r w:rsidRPr="005011B1">
        <w:rPr>
          <w:color w:val="000000"/>
          <w:lang w:val="en-US"/>
        </w:rPr>
        <w:t xml:space="preserve">. Extension of devices’ longevity may reduce the mismatch that was demonstrated in the past between patient survival and ICD/CRT-D </w:t>
      </w:r>
      <w:r w:rsidR="00057555" w:rsidRPr="005011B1">
        <w:rPr>
          <w:color w:val="000000"/>
          <w:lang w:val="en-US"/>
        </w:rPr>
        <w:t>service-life</w:t>
      </w:r>
      <w:r w:rsidRPr="005011B1">
        <w:rPr>
          <w:color w:val="000000"/>
          <w:lang w:val="en-US"/>
        </w:rPr>
        <w:t>.</w:t>
      </w:r>
      <w:r w:rsidR="00FC6E75" w:rsidRPr="005011B1">
        <w:rPr>
          <w:noProof/>
          <w:color w:val="000000"/>
          <w:vertAlign w:val="superscript"/>
          <w:lang w:val="en-US"/>
        </w:rPr>
        <w:t>16</w:t>
      </w:r>
      <w:r w:rsidRPr="005011B1">
        <w:rPr>
          <w:color w:val="000000"/>
          <w:lang w:val="en-US"/>
        </w:rPr>
        <w:t xml:space="preserve"> An increase of device longevity could be obtained by improved device </w:t>
      </w:r>
      <w:r w:rsidR="001960EC" w:rsidRPr="005011B1">
        <w:rPr>
          <w:color w:val="000000"/>
          <w:lang w:val="en-US"/>
        </w:rPr>
        <w:t xml:space="preserve">technology (both hardware and software) </w:t>
      </w:r>
      <w:r w:rsidRPr="005011B1">
        <w:rPr>
          <w:color w:val="000000"/>
          <w:lang w:val="en-US"/>
        </w:rPr>
        <w:t>and</w:t>
      </w:r>
      <w:r w:rsidR="001960EC" w:rsidRPr="005011B1">
        <w:rPr>
          <w:color w:val="000000"/>
          <w:lang w:val="en-US"/>
        </w:rPr>
        <w:t xml:space="preserve"> </w:t>
      </w:r>
      <w:r w:rsidRPr="005011B1">
        <w:rPr>
          <w:color w:val="000000"/>
          <w:lang w:val="en-US"/>
        </w:rPr>
        <w:t xml:space="preserve">battery chemistry and </w:t>
      </w:r>
      <w:r w:rsidR="00BA5307" w:rsidRPr="005011B1">
        <w:rPr>
          <w:color w:val="000000"/>
          <w:lang w:val="en-US"/>
        </w:rPr>
        <w:t>determines</w:t>
      </w:r>
      <w:r w:rsidR="007B583D" w:rsidRPr="005011B1">
        <w:rPr>
          <w:color w:val="000000"/>
          <w:lang w:val="en-US"/>
        </w:rPr>
        <w:t xml:space="preserve"> both clinical and economic benefit</w:t>
      </w:r>
      <w:r w:rsidR="00BA5307" w:rsidRPr="005011B1">
        <w:rPr>
          <w:color w:val="000000"/>
          <w:lang w:val="en-US"/>
        </w:rPr>
        <w:t xml:space="preserve">, with </w:t>
      </w:r>
      <w:r w:rsidR="00EA59EA" w:rsidRPr="005011B1">
        <w:rPr>
          <w:color w:val="000000"/>
          <w:lang w:val="en-US"/>
        </w:rPr>
        <w:t>important impact in reducing procedural complications and long-term cost of ICD therapy.</w:t>
      </w:r>
      <w:r w:rsidR="00B7107A" w:rsidRPr="005011B1">
        <w:rPr>
          <w:noProof/>
          <w:color w:val="000000"/>
          <w:vertAlign w:val="superscript"/>
          <w:lang w:val="en-US"/>
        </w:rPr>
        <w:t>13–15</w:t>
      </w:r>
    </w:p>
    <w:p w14:paraId="66B3D193" w14:textId="3BC0D809" w:rsidR="00F10103" w:rsidRPr="005011B1" w:rsidRDefault="00BE0F0F" w:rsidP="456EB3F9">
      <w:pPr>
        <w:spacing w:line="480" w:lineRule="auto"/>
        <w:rPr>
          <w:color w:val="000000"/>
          <w:lang w:val="en-US"/>
        </w:rPr>
      </w:pPr>
      <w:r w:rsidRPr="005011B1">
        <w:rPr>
          <w:color w:val="000000"/>
          <w:lang w:val="en-US"/>
        </w:rPr>
        <w:t xml:space="preserve">The </w:t>
      </w:r>
      <w:r w:rsidR="006D09D1" w:rsidRPr="005011B1">
        <w:rPr>
          <w:color w:val="000000"/>
          <w:lang w:val="en-US"/>
        </w:rPr>
        <w:t xml:space="preserve">observed </w:t>
      </w:r>
      <w:r w:rsidRPr="005011B1">
        <w:rPr>
          <w:color w:val="000000"/>
          <w:lang w:val="en-US"/>
        </w:rPr>
        <w:t xml:space="preserve">reduction of </w:t>
      </w:r>
      <w:r w:rsidR="00F10103" w:rsidRPr="005011B1">
        <w:rPr>
          <w:color w:val="000000"/>
          <w:lang w:val="en-US"/>
        </w:rPr>
        <w:t xml:space="preserve">interventions </w:t>
      </w:r>
      <w:r w:rsidR="006D09D1" w:rsidRPr="005011B1">
        <w:rPr>
          <w:color w:val="000000"/>
          <w:lang w:val="en-US"/>
        </w:rPr>
        <w:t xml:space="preserve">for </w:t>
      </w:r>
      <w:r w:rsidR="00F10103" w:rsidRPr="005011B1">
        <w:rPr>
          <w:color w:val="000000"/>
          <w:lang w:val="en-US"/>
        </w:rPr>
        <w:t xml:space="preserve">device system </w:t>
      </w:r>
      <w:r w:rsidR="000329D7" w:rsidRPr="005011B1">
        <w:rPr>
          <w:color w:val="000000"/>
          <w:lang w:val="en-US"/>
        </w:rPr>
        <w:t>CRT</w:t>
      </w:r>
      <w:r w:rsidR="00C95712" w:rsidRPr="005011B1">
        <w:rPr>
          <w:color w:val="000000"/>
          <w:lang w:val="en-US"/>
        </w:rPr>
        <w:t xml:space="preserve"> upgrading </w:t>
      </w:r>
      <w:r w:rsidR="00757D47" w:rsidRPr="005011B1">
        <w:rPr>
          <w:color w:val="000000"/>
          <w:lang w:val="en-US"/>
        </w:rPr>
        <w:t>could be</w:t>
      </w:r>
      <w:r w:rsidR="00226768" w:rsidRPr="005011B1">
        <w:rPr>
          <w:color w:val="000000"/>
          <w:lang w:val="en-US"/>
        </w:rPr>
        <w:t xml:space="preserve"> explained </w:t>
      </w:r>
      <w:r w:rsidR="006D09D1" w:rsidRPr="005011B1">
        <w:rPr>
          <w:color w:val="000000"/>
          <w:lang w:val="en-US"/>
        </w:rPr>
        <w:t xml:space="preserve">in our experience </w:t>
      </w:r>
      <w:r w:rsidR="00757D47" w:rsidRPr="005011B1">
        <w:rPr>
          <w:color w:val="000000"/>
          <w:lang w:val="en-US"/>
        </w:rPr>
        <w:t xml:space="preserve">by </w:t>
      </w:r>
      <w:r w:rsidR="00C762FF" w:rsidRPr="005011B1">
        <w:rPr>
          <w:color w:val="000000"/>
          <w:lang w:val="en-US"/>
        </w:rPr>
        <w:t>improvements in the initial choice of ICD type</w:t>
      </w:r>
      <w:r w:rsidR="007F256D" w:rsidRPr="005011B1">
        <w:rPr>
          <w:color w:val="000000"/>
          <w:lang w:val="en-US"/>
        </w:rPr>
        <w:t xml:space="preserve">, which was probably induced by the evidence that </w:t>
      </w:r>
      <w:r w:rsidR="001300EB" w:rsidRPr="005011B1">
        <w:rPr>
          <w:color w:val="000000"/>
          <w:lang w:val="en-US"/>
        </w:rPr>
        <w:t>periprocedural morbidity is higher in patients who undergo an upgrade compared to patients who undergo replacement of the generator.</w:t>
      </w:r>
      <w:r w:rsidR="00431D2E" w:rsidRPr="005011B1">
        <w:rPr>
          <w:noProof/>
          <w:color w:val="000000"/>
          <w:vertAlign w:val="superscript"/>
          <w:lang w:val="en-US"/>
        </w:rPr>
        <w:t>22</w:t>
      </w:r>
      <w:r w:rsidR="001300EB" w:rsidRPr="005011B1">
        <w:rPr>
          <w:color w:val="000000"/>
          <w:lang w:val="en-US"/>
        </w:rPr>
        <w:t xml:space="preserve">  </w:t>
      </w:r>
      <w:r w:rsidR="00C95712" w:rsidRPr="005011B1">
        <w:rPr>
          <w:color w:val="000000"/>
          <w:lang w:val="en-US"/>
        </w:rPr>
        <w:t xml:space="preserve">Conversely, </w:t>
      </w:r>
      <w:r w:rsidR="006D09D1" w:rsidRPr="005011B1">
        <w:rPr>
          <w:color w:val="000000"/>
          <w:lang w:val="en-US"/>
        </w:rPr>
        <w:t xml:space="preserve">in our Registry </w:t>
      </w:r>
      <w:r w:rsidR="00C95712" w:rsidRPr="005011B1">
        <w:rPr>
          <w:color w:val="000000"/>
          <w:lang w:val="en-US"/>
        </w:rPr>
        <w:t xml:space="preserve">the reduction of </w:t>
      </w:r>
      <w:proofErr w:type="spellStart"/>
      <w:r w:rsidR="00C95712" w:rsidRPr="005011B1">
        <w:rPr>
          <w:color w:val="000000"/>
          <w:lang w:val="en-US"/>
        </w:rPr>
        <w:t>explantations</w:t>
      </w:r>
      <w:proofErr w:type="spellEnd"/>
      <w:r w:rsidR="00C95712" w:rsidRPr="005011B1">
        <w:rPr>
          <w:color w:val="000000"/>
          <w:lang w:val="en-US"/>
        </w:rPr>
        <w:t xml:space="preserve"> for </w:t>
      </w:r>
      <w:r w:rsidR="00451201">
        <w:rPr>
          <w:color w:val="000000"/>
          <w:lang w:val="en-US"/>
        </w:rPr>
        <w:t>erosion</w:t>
      </w:r>
      <w:r w:rsidR="00226768" w:rsidRPr="005011B1">
        <w:rPr>
          <w:color w:val="000000"/>
          <w:lang w:val="en-US"/>
        </w:rPr>
        <w:t xml:space="preserve">/infections could be justified by the improvement of surgical techniques and equipment, as well as by a more </w:t>
      </w:r>
      <w:r w:rsidR="00226768" w:rsidRPr="005011B1">
        <w:rPr>
          <w:color w:val="000000"/>
          <w:lang w:val="en-US"/>
        </w:rPr>
        <w:lastRenderedPageBreak/>
        <w:t xml:space="preserve">diffuse </w:t>
      </w:r>
      <w:r w:rsidR="006D09D1" w:rsidRPr="005011B1">
        <w:rPr>
          <w:color w:val="000000"/>
          <w:lang w:val="en-US"/>
        </w:rPr>
        <w:t xml:space="preserve">and increasing </w:t>
      </w:r>
      <w:r w:rsidR="00226768" w:rsidRPr="005011B1">
        <w:rPr>
          <w:color w:val="000000"/>
          <w:lang w:val="en-US"/>
        </w:rPr>
        <w:t xml:space="preserve">expertise across the implanting </w:t>
      </w:r>
      <w:r w:rsidR="003A6561" w:rsidRPr="005011B1">
        <w:rPr>
          <w:color w:val="000000"/>
          <w:lang w:val="en-US"/>
        </w:rPr>
        <w:t>centers</w:t>
      </w:r>
      <w:r w:rsidR="00226768" w:rsidRPr="005011B1">
        <w:rPr>
          <w:color w:val="000000"/>
          <w:lang w:val="en-US"/>
        </w:rPr>
        <w:t>.</w:t>
      </w:r>
      <w:r w:rsidR="00613D25" w:rsidRPr="005011B1">
        <w:rPr>
          <w:color w:val="000000"/>
          <w:lang w:val="en-US"/>
        </w:rPr>
        <w:t xml:space="preserve"> ICD or CRT-</w:t>
      </w:r>
      <w:r w:rsidR="006D09D1" w:rsidRPr="005011B1">
        <w:rPr>
          <w:color w:val="000000"/>
          <w:lang w:val="en-US"/>
        </w:rPr>
        <w:t>D replacement</w:t>
      </w:r>
      <w:r w:rsidR="00465C19" w:rsidRPr="005011B1">
        <w:rPr>
          <w:color w:val="000000"/>
          <w:lang w:val="en-US"/>
        </w:rPr>
        <w:t xml:space="preserve"> for system recalls could have been reduced also by </w:t>
      </w:r>
      <w:r w:rsidR="00B8668F" w:rsidRPr="005011B1">
        <w:rPr>
          <w:color w:val="000000"/>
          <w:lang w:val="en-US"/>
        </w:rPr>
        <w:t>large implementation</w:t>
      </w:r>
      <w:r w:rsidR="00613D25" w:rsidRPr="005011B1">
        <w:rPr>
          <w:color w:val="000000"/>
          <w:lang w:val="en-US"/>
        </w:rPr>
        <w:t xml:space="preserve"> after the year 2012 </w:t>
      </w:r>
      <w:r w:rsidR="00B8668F" w:rsidRPr="005011B1">
        <w:rPr>
          <w:color w:val="000000"/>
          <w:lang w:val="en-US"/>
        </w:rPr>
        <w:t xml:space="preserve"> of </w:t>
      </w:r>
      <w:r w:rsidR="00465C19" w:rsidRPr="005011B1">
        <w:rPr>
          <w:color w:val="000000"/>
          <w:lang w:val="en-US"/>
        </w:rPr>
        <w:t>remote monitoring</w:t>
      </w:r>
      <w:r w:rsidR="00613D25" w:rsidRPr="005011B1">
        <w:rPr>
          <w:color w:val="000000"/>
          <w:lang w:val="en-US"/>
        </w:rPr>
        <w:t xml:space="preserve"> ,</w:t>
      </w:r>
      <w:r w:rsidR="00465C19" w:rsidRPr="005011B1">
        <w:rPr>
          <w:color w:val="000000"/>
          <w:lang w:val="en-US"/>
        </w:rPr>
        <w:t xml:space="preserve"> which allows a stricter follow up permitting to postpone replacement.</w:t>
      </w:r>
      <w:r w:rsidR="00431D2E" w:rsidRPr="005011B1">
        <w:rPr>
          <w:noProof/>
          <w:color w:val="000000"/>
          <w:vertAlign w:val="superscript"/>
          <w:lang w:val="en-US"/>
        </w:rPr>
        <w:t>23–26</w:t>
      </w:r>
      <w:r w:rsidR="003E5E78" w:rsidRPr="005011B1">
        <w:rPr>
          <w:color w:val="000000"/>
          <w:lang w:val="en-US"/>
        </w:rPr>
        <w:t xml:space="preserve"> </w:t>
      </w:r>
      <w:r w:rsidR="00A44DF0" w:rsidRPr="005011B1">
        <w:rPr>
          <w:color w:val="000000"/>
          <w:lang w:val="en-US"/>
        </w:rPr>
        <w:t xml:space="preserve"> </w:t>
      </w:r>
      <w:r w:rsidR="006E733D" w:rsidRPr="005011B1">
        <w:rPr>
          <w:color w:val="000000"/>
          <w:lang w:val="en-US"/>
        </w:rPr>
        <w:t xml:space="preserve">The reduction </w:t>
      </w:r>
      <w:r w:rsidR="00A44DF0" w:rsidRPr="005011B1">
        <w:rPr>
          <w:color w:val="000000"/>
          <w:lang w:val="en-US"/>
        </w:rPr>
        <w:t>of</w:t>
      </w:r>
      <w:r w:rsidR="006E733D" w:rsidRPr="005011B1">
        <w:rPr>
          <w:color w:val="000000"/>
          <w:lang w:val="en-US"/>
        </w:rPr>
        <w:t xml:space="preserve"> the number of replacements has important clinical implications, related to a potential decrease in the risk of complications and specifically of device system infections that any replacement may imply according to a series of risk factors</w:t>
      </w:r>
      <w:r w:rsidR="00BD62A1" w:rsidRPr="005011B1">
        <w:rPr>
          <w:color w:val="000000"/>
          <w:lang w:val="en-US"/>
        </w:rPr>
        <w:t>.</w:t>
      </w:r>
      <w:r w:rsidR="00431D2E" w:rsidRPr="005011B1">
        <w:rPr>
          <w:noProof/>
          <w:color w:val="000000"/>
          <w:vertAlign w:val="superscript"/>
          <w:lang w:val="en-US"/>
        </w:rPr>
        <w:t>27,28</w:t>
      </w:r>
      <w:r w:rsidR="006E733D" w:rsidRPr="005011B1">
        <w:rPr>
          <w:color w:val="000000"/>
          <w:lang w:val="en-US"/>
        </w:rPr>
        <w:t xml:space="preserve"> </w:t>
      </w:r>
    </w:p>
    <w:p w14:paraId="1B7BDFA1" w14:textId="77777777" w:rsidR="001960EC" w:rsidRPr="005011B1" w:rsidRDefault="00F10103" w:rsidP="456EB3F9">
      <w:pPr>
        <w:spacing w:line="480" w:lineRule="auto"/>
        <w:rPr>
          <w:color w:val="000000"/>
          <w:lang w:val="en-US"/>
        </w:rPr>
      </w:pPr>
      <w:r w:rsidRPr="005011B1">
        <w:rPr>
          <w:color w:val="000000"/>
          <w:lang w:val="en-US"/>
        </w:rPr>
        <w:t xml:space="preserve">The </w:t>
      </w:r>
      <w:r w:rsidR="00057555" w:rsidRPr="005011B1">
        <w:rPr>
          <w:color w:val="000000"/>
          <w:lang w:val="en-US"/>
        </w:rPr>
        <w:t>service-</w:t>
      </w:r>
      <w:r w:rsidR="003D18CB" w:rsidRPr="005011B1">
        <w:rPr>
          <w:color w:val="000000"/>
          <w:lang w:val="en-US"/>
        </w:rPr>
        <w:t>life of</w:t>
      </w:r>
      <w:r w:rsidR="001960EC" w:rsidRPr="005011B1">
        <w:rPr>
          <w:color w:val="000000"/>
          <w:lang w:val="en-US"/>
        </w:rPr>
        <w:t xml:space="preserve"> ICDs is determined by a multiplicity of factors and is difficult to be predicted a priori. </w:t>
      </w:r>
      <w:r w:rsidR="00C73EB2" w:rsidRPr="005011B1">
        <w:rPr>
          <w:color w:val="000000"/>
          <w:lang w:val="en-US"/>
        </w:rPr>
        <w:t>Therefore</w:t>
      </w:r>
      <w:r w:rsidR="001960EC" w:rsidRPr="005011B1">
        <w:rPr>
          <w:color w:val="000000"/>
          <w:lang w:val="en-US"/>
        </w:rPr>
        <w:t xml:space="preserve">, data from “real world” registries can be particularly helpful </w:t>
      </w:r>
      <w:r w:rsidR="00314987" w:rsidRPr="005011B1">
        <w:rPr>
          <w:color w:val="000000"/>
          <w:lang w:val="en-US"/>
        </w:rPr>
        <w:t>as</w:t>
      </w:r>
      <w:r w:rsidR="0095385D" w:rsidRPr="005011B1">
        <w:rPr>
          <w:color w:val="000000"/>
          <w:lang w:val="en-US"/>
        </w:rPr>
        <w:t xml:space="preserve"> t</w:t>
      </w:r>
      <w:r w:rsidR="001960EC" w:rsidRPr="005011B1">
        <w:rPr>
          <w:color w:val="000000"/>
          <w:lang w:val="en-US"/>
        </w:rPr>
        <w:t xml:space="preserve">hey have already been shown to describe accurately </w:t>
      </w:r>
      <w:r w:rsidR="00C73EB2" w:rsidRPr="005011B1">
        <w:rPr>
          <w:color w:val="000000"/>
          <w:lang w:val="en-US"/>
        </w:rPr>
        <w:t>the actual impact of ICD therapy on ordinary population</w:t>
      </w:r>
      <w:r w:rsidR="0095385D" w:rsidRPr="005011B1">
        <w:rPr>
          <w:color w:val="000000"/>
          <w:lang w:val="en-US"/>
        </w:rPr>
        <w:t>s</w:t>
      </w:r>
      <w:r w:rsidR="00C73EB2" w:rsidRPr="005011B1">
        <w:rPr>
          <w:color w:val="000000"/>
          <w:lang w:val="en-US"/>
        </w:rPr>
        <w:t>.</w:t>
      </w:r>
      <w:r w:rsidR="00B7107A" w:rsidRPr="005011B1">
        <w:rPr>
          <w:noProof/>
          <w:color w:val="000000"/>
          <w:vertAlign w:val="superscript"/>
          <w:lang w:val="en-US"/>
        </w:rPr>
        <w:t>3,4</w:t>
      </w:r>
      <w:r w:rsidR="009457D1" w:rsidRPr="005011B1">
        <w:rPr>
          <w:color w:val="000000"/>
          <w:lang w:val="en-US"/>
        </w:rPr>
        <w:t xml:space="preserve"> </w:t>
      </w:r>
      <w:r w:rsidR="00180234" w:rsidRPr="005011B1">
        <w:rPr>
          <w:color w:val="000000"/>
          <w:lang w:val="en-US"/>
        </w:rPr>
        <w:t xml:space="preserve">In the last years several studies on ICD longevity have </w:t>
      </w:r>
      <w:r w:rsidR="00F52329" w:rsidRPr="005011B1">
        <w:rPr>
          <w:color w:val="000000"/>
          <w:lang w:val="en-US"/>
        </w:rPr>
        <w:t>been</w:t>
      </w:r>
      <w:r w:rsidR="00180234" w:rsidRPr="005011B1">
        <w:rPr>
          <w:color w:val="000000"/>
          <w:lang w:val="en-US"/>
        </w:rPr>
        <w:t xml:space="preserve"> published; most of them were single center or multicenter studies collecting data from less than 50 participating centers</w:t>
      </w:r>
      <w:r w:rsidR="002D6479" w:rsidRPr="005011B1">
        <w:rPr>
          <w:color w:val="000000"/>
          <w:lang w:val="en-US"/>
        </w:rPr>
        <w:t>.</w:t>
      </w:r>
      <w:r w:rsidR="00B7107A" w:rsidRPr="005011B1">
        <w:rPr>
          <w:noProof/>
          <w:color w:val="000000"/>
          <w:vertAlign w:val="superscript"/>
          <w:lang w:val="en-US"/>
        </w:rPr>
        <w:t>8–10,29,30</w:t>
      </w:r>
      <w:r w:rsidR="00932D17" w:rsidRPr="005011B1">
        <w:rPr>
          <w:color w:val="000000"/>
          <w:lang w:val="en-US"/>
        </w:rPr>
        <w:t xml:space="preserve"> </w:t>
      </w:r>
      <w:r w:rsidR="00932D17" w:rsidRPr="00B81699">
        <w:rPr>
          <w:color w:val="FF0000"/>
          <w:lang w:val="en-US"/>
        </w:rPr>
        <w:t xml:space="preserve"> </w:t>
      </w:r>
    </w:p>
    <w:p w14:paraId="7A3ED430" w14:textId="3D3969E8" w:rsidR="00913803" w:rsidRPr="005011B1" w:rsidRDefault="00F223F1" w:rsidP="456EB3F9">
      <w:pPr>
        <w:spacing w:line="480" w:lineRule="auto"/>
        <w:rPr>
          <w:color w:val="000000"/>
          <w:lang w:val="en-US"/>
        </w:rPr>
      </w:pPr>
      <w:r w:rsidRPr="005011B1">
        <w:rPr>
          <w:color w:val="000000"/>
          <w:lang w:val="en-US"/>
        </w:rPr>
        <w:t>With respect to previously published dat</w:t>
      </w:r>
      <w:r w:rsidR="000705EA" w:rsidRPr="005011B1">
        <w:rPr>
          <w:color w:val="000000"/>
          <w:lang w:val="en-US"/>
        </w:rPr>
        <w:t>a,</w:t>
      </w:r>
      <w:r w:rsidR="00A77F69" w:rsidRPr="005011B1">
        <w:rPr>
          <w:color w:val="000000"/>
          <w:lang w:val="en-US"/>
        </w:rPr>
        <w:t xml:space="preserve"> </w:t>
      </w:r>
      <w:r w:rsidR="00606866" w:rsidRPr="005011B1">
        <w:rPr>
          <w:color w:val="000000"/>
          <w:lang w:val="en-US"/>
        </w:rPr>
        <w:t>i</w:t>
      </w:r>
      <w:r w:rsidR="00A77F69" w:rsidRPr="005011B1">
        <w:rPr>
          <w:color w:val="000000"/>
          <w:lang w:val="en-US"/>
        </w:rPr>
        <w:t>t must be noted that proper comparison</w:t>
      </w:r>
      <w:r w:rsidR="00B96F60" w:rsidRPr="005011B1">
        <w:rPr>
          <w:color w:val="000000"/>
          <w:lang w:val="en-US"/>
        </w:rPr>
        <w:t xml:space="preserve"> of device </w:t>
      </w:r>
      <w:r w:rsidR="00057555" w:rsidRPr="005011B1">
        <w:rPr>
          <w:color w:val="000000"/>
          <w:lang w:val="en-US"/>
        </w:rPr>
        <w:t>service-life</w:t>
      </w:r>
      <w:r w:rsidR="00546101">
        <w:rPr>
          <w:color w:val="000000"/>
          <w:lang w:val="en-US"/>
        </w:rPr>
        <w:t xml:space="preserve"> </w:t>
      </w:r>
      <w:r w:rsidR="00546101" w:rsidRPr="009A3D00">
        <w:rPr>
          <w:color w:val="000000" w:themeColor="text1"/>
          <w:lang w:val="en-US"/>
        </w:rPr>
        <w:t xml:space="preserve">between different studies </w:t>
      </w:r>
      <w:r w:rsidR="00A77F69" w:rsidRPr="009A3D00">
        <w:rPr>
          <w:color w:val="000000" w:themeColor="text1"/>
          <w:lang w:val="en-US"/>
        </w:rPr>
        <w:t>is difficult</w:t>
      </w:r>
      <w:r w:rsidR="00972D4A" w:rsidRPr="009A3D00">
        <w:rPr>
          <w:color w:val="000000" w:themeColor="text1"/>
          <w:lang w:val="en-US"/>
        </w:rPr>
        <w:t xml:space="preserve"> </w:t>
      </w:r>
      <w:r w:rsidR="00B96F60" w:rsidRPr="005011B1">
        <w:rPr>
          <w:color w:val="000000"/>
          <w:lang w:val="en-US"/>
        </w:rPr>
        <w:t xml:space="preserve">to be obtained </w:t>
      </w:r>
      <w:r w:rsidR="00972D4A" w:rsidRPr="005011B1">
        <w:rPr>
          <w:color w:val="000000"/>
          <w:lang w:val="en-US"/>
        </w:rPr>
        <w:t>due to inhomogeneity of patients included and data presentation.</w:t>
      </w:r>
      <w:r w:rsidR="00A77F69" w:rsidRPr="005011B1">
        <w:rPr>
          <w:color w:val="000000"/>
          <w:lang w:val="en-US"/>
        </w:rPr>
        <w:t xml:space="preserve"> </w:t>
      </w:r>
      <w:proofErr w:type="spellStart"/>
      <w:r w:rsidR="00A77F69" w:rsidRPr="005011B1">
        <w:rPr>
          <w:color w:val="000000"/>
          <w:lang w:val="en-US"/>
        </w:rPr>
        <w:t>Thijssen</w:t>
      </w:r>
      <w:proofErr w:type="spellEnd"/>
      <w:r w:rsidR="00A77F69" w:rsidRPr="005011B1">
        <w:rPr>
          <w:color w:val="000000"/>
          <w:lang w:val="en-US"/>
        </w:rPr>
        <w:t xml:space="preserve"> et al.</w:t>
      </w:r>
      <w:r w:rsidR="00431D2E" w:rsidRPr="005011B1">
        <w:rPr>
          <w:noProof/>
          <w:color w:val="000000"/>
          <w:vertAlign w:val="superscript"/>
          <w:lang w:val="en-US"/>
        </w:rPr>
        <w:t>29</w:t>
      </w:r>
      <w:r w:rsidR="003239A9" w:rsidRPr="005011B1">
        <w:rPr>
          <w:color w:val="000000"/>
          <w:lang w:val="en-US"/>
        </w:rPr>
        <w:t xml:space="preserve"> </w:t>
      </w:r>
      <w:r w:rsidR="00A77F69" w:rsidRPr="005011B1">
        <w:rPr>
          <w:color w:val="000000"/>
          <w:lang w:val="en-US"/>
        </w:rPr>
        <w:t>report</w:t>
      </w:r>
      <w:r w:rsidR="00972D4A" w:rsidRPr="005011B1">
        <w:rPr>
          <w:color w:val="000000"/>
          <w:lang w:val="en-US"/>
        </w:rPr>
        <w:t>ed</w:t>
      </w:r>
      <w:r w:rsidR="00A77F69" w:rsidRPr="005011B1">
        <w:rPr>
          <w:color w:val="000000"/>
          <w:lang w:val="en-US"/>
        </w:rPr>
        <w:t xml:space="preserve"> longevity as a mean value of 5.0 </w:t>
      </w:r>
      <w:r w:rsidR="00A77F69" w:rsidRPr="005011B1">
        <w:rPr>
          <w:color w:val="000000"/>
          <w:lang w:val="en-US"/>
        </w:rPr>
        <w:sym w:font="Symbol" w:char="F0B1"/>
      </w:r>
      <w:r w:rsidR="00A77F69" w:rsidRPr="005011B1">
        <w:rPr>
          <w:color w:val="000000"/>
          <w:lang w:val="en-US"/>
        </w:rPr>
        <w:t xml:space="preserve"> 0.1 years</w:t>
      </w:r>
      <w:r w:rsidR="00913803" w:rsidRPr="005011B1">
        <w:rPr>
          <w:color w:val="000000"/>
          <w:lang w:val="en-US"/>
        </w:rPr>
        <w:t xml:space="preserve"> </w:t>
      </w:r>
      <w:r w:rsidR="004E12D5" w:rsidRPr="005011B1">
        <w:rPr>
          <w:color w:val="000000"/>
          <w:lang w:val="en-US"/>
        </w:rPr>
        <w:t>and included</w:t>
      </w:r>
      <w:r w:rsidR="00BA69AC" w:rsidRPr="005011B1">
        <w:rPr>
          <w:color w:val="000000"/>
          <w:lang w:val="en-US"/>
        </w:rPr>
        <w:t xml:space="preserve"> 4673 patients implanted with an ICD from calendar </w:t>
      </w:r>
      <w:r w:rsidR="00BA69AC" w:rsidRPr="009A3D00">
        <w:rPr>
          <w:color w:val="000000"/>
          <w:lang w:val="en-US"/>
        </w:rPr>
        <w:t>1996 year</w:t>
      </w:r>
      <w:r w:rsidR="00546101" w:rsidRPr="009A3D00">
        <w:rPr>
          <w:color w:val="000000"/>
          <w:lang w:val="en-US"/>
        </w:rPr>
        <w:t xml:space="preserve"> </w:t>
      </w:r>
      <w:r w:rsidR="00546101" w:rsidRPr="009A3D00">
        <w:rPr>
          <w:color w:val="000000" w:themeColor="text1"/>
          <w:lang w:val="en-US"/>
        </w:rPr>
        <w:t xml:space="preserve">to </w:t>
      </w:r>
      <w:r w:rsidR="009A3D00">
        <w:rPr>
          <w:color w:val="000000" w:themeColor="text1"/>
          <w:lang w:val="en-US"/>
        </w:rPr>
        <w:t xml:space="preserve">calendar </w:t>
      </w:r>
      <w:r w:rsidR="00B74D93" w:rsidRPr="009A3D00">
        <w:rPr>
          <w:color w:val="000000" w:themeColor="text1"/>
          <w:lang w:val="en-US"/>
        </w:rPr>
        <w:t>2011</w:t>
      </w:r>
      <w:r w:rsidR="009A3D00">
        <w:rPr>
          <w:color w:val="000000" w:themeColor="text1"/>
          <w:lang w:val="en-US"/>
        </w:rPr>
        <w:t xml:space="preserve"> year.</w:t>
      </w:r>
      <w:r w:rsidR="00BA69AC" w:rsidRPr="009A3D00">
        <w:rPr>
          <w:color w:val="000000" w:themeColor="text1"/>
          <w:lang w:val="en-US"/>
        </w:rPr>
        <w:t xml:space="preserve"> </w:t>
      </w:r>
      <w:r w:rsidR="00BA69AC" w:rsidRPr="009A3D00">
        <w:rPr>
          <w:color w:val="000000"/>
          <w:lang w:val="en-US"/>
        </w:rPr>
        <w:t>V</w:t>
      </w:r>
      <w:r w:rsidR="00A77F69" w:rsidRPr="009A3D00">
        <w:rPr>
          <w:color w:val="000000"/>
          <w:lang w:val="en-US"/>
        </w:rPr>
        <w:t>on</w:t>
      </w:r>
      <w:r w:rsidR="00A77F69" w:rsidRPr="005011B1">
        <w:rPr>
          <w:color w:val="000000"/>
          <w:lang w:val="en-US"/>
        </w:rPr>
        <w:t xml:space="preserve"> </w:t>
      </w:r>
      <w:proofErr w:type="spellStart"/>
      <w:r w:rsidR="00A77F69" w:rsidRPr="005011B1">
        <w:rPr>
          <w:color w:val="000000"/>
          <w:lang w:val="en-US"/>
        </w:rPr>
        <w:t>Gunten</w:t>
      </w:r>
      <w:proofErr w:type="spellEnd"/>
      <w:r w:rsidR="00A77F69" w:rsidRPr="005011B1">
        <w:rPr>
          <w:color w:val="000000"/>
          <w:lang w:val="en-US"/>
        </w:rPr>
        <w:t xml:space="preserve"> et al. </w:t>
      </w:r>
      <w:r w:rsidR="00431D2E" w:rsidRPr="005011B1">
        <w:rPr>
          <w:noProof/>
          <w:color w:val="000000"/>
          <w:vertAlign w:val="superscript"/>
          <w:lang w:val="en-US"/>
        </w:rPr>
        <w:t>9</w:t>
      </w:r>
      <w:r w:rsidR="00A77F69" w:rsidRPr="005011B1">
        <w:rPr>
          <w:color w:val="000000"/>
          <w:lang w:val="en-US"/>
        </w:rPr>
        <w:t xml:space="preserve"> showed that 69.8% of ICD were still operative after 5 years </w:t>
      </w:r>
      <w:r w:rsidR="00754333" w:rsidRPr="005011B1">
        <w:rPr>
          <w:color w:val="000000"/>
          <w:lang w:val="en-US"/>
        </w:rPr>
        <w:t>analyzing data from a population</w:t>
      </w:r>
      <w:r w:rsidR="008705D1" w:rsidRPr="005011B1">
        <w:rPr>
          <w:color w:val="000000"/>
          <w:lang w:val="en-US"/>
        </w:rPr>
        <w:t xml:space="preserve"> of 3436 patients from calendar year 1994 to calendar year 2004</w:t>
      </w:r>
      <w:r w:rsidR="004C4DD4" w:rsidRPr="005011B1">
        <w:rPr>
          <w:color w:val="000000"/>
          <w:lang w:val="en-US"/>
        </w:rPr>
        <w:t xml:space="preserve"> and </w:t>
      </w:r>
      <w:proofErr w:type="spellStart"/>
      <w:r w:rsidR="00A77F69" w:rsidRPr="005011B1">
        <w:rPr>
          <w:color w:val="000000"/>
          <w:lang w:val="en-US"/>
        </w:rPr>
        <w:t>Zanon</w:t>
      </w:r>
      <w:proofErr w:type="spellEnd"/>
      <w:r w:rsidR="00A77F69" w:rsidRPr="005011B1">
        <w:rPr>
          <w:color w:val="000000"/>
          <w:lang w:val="en-US"/>
        </w:rPr>
        <w:t xml:space="preserve"> et al.</w:t>
      </w:r>
      <w:r w:rsidR="00431D2E" w:rsidRPr="005011B1">
        <w:rPr>
          <w:noProof/>
          <w:color w:val="000000"/>
          <w:vertAlign w:val="superscript"/>
          <w:lang w:val="en-US"/>
        </w:rPr>
        <w:t>30</w:t>
      </w:r>
      <w:r w:rsidR="003239A9" w:rsidRPr="005011B1">
        <w:rPr>
          <w:color w:val="000000"/>
          <w:lang w:val="en-US"/>
        </w:rPr>
        <w:t xml:space="preserve"> </w:t>
      </w:r>
      <w:r w:rsidR="00913803" w:rsidRPr="005011B1">
        <w:rPr>
          <w:color w:val="000000"/>
          <w:lang w:val="en-US"/>
        </w:rPr>
        <w:t xml:space="preserve"> </w:t>
      </w:r>
      <w:r w:rsidR="008705D1" w:rsidRPr="005011B1">
        <w:rPr>
          <w:color w:val="000000"/>
          <w:lang w:val="en-US"/>
        </w:rPr>
        <w:t xml:space="preserve">estimated a </w:t>
      </w:r>
      <w:r w:rsidR="00A77F69" w:rsidRPr="005011B1">
        <w:rPr>
          <w:color w:val="000000"/>
          <w:lang w:val="en-US"/>
        </w:rPr>
        <w:t xml:space="preserve">median </w:t>
      </w:r>
      <w:r w:rsidR="008705D1" w:rsidRPr="005011B1">
        <w:rPr>
          <w:color w:val="000000"/>
          <w:lang w:val="en-US"/>
        </w:rPr>
        <w:t>service-life of</w:t>
      </w:r>
      <w:r w:rsidR="00A77F69" w:rsidRPr="005011B1">
        <w:rPr>
          <w:color w:val="000000"/>
          <w:lang w:val="en-US"/>
        </w:rPr>
        <w:t xml:space="preserve"> 5.9 IQR 2.0 years in VR and DR</w:t>
      </w:r>
      <w:r w:rsidR="008705D1" w:rsidRPr="005011B1">
        <w:rPr>
          <w:color w:val="000000"/>
          <w:lang w:val="en-US"/>
        </w:rPr>
        <w:t xml:space="preserve"> ICD and of</w:t>
      </w:r>
      <w:r w:rsidR="00A77F69" w:rsidRPr="005011B1">
        <w:rPr>
          <w:color w:val="000000"/>
          <w:lang w:val="en-US"/>
        </w:rPr>
        <w:t xml:space="preserve"> 4.9 IQR 1.7 in CRT-D </w:t>
      </w:r>
      <w:r w:rsidR="00D27916" w:rsidRPr="005011B1">
        <w:rPr>
          <w:color w:val="000000"/>
          <w:lang w:val="en-US"/>
        </w:rPr>
        <w:t xml:space="preserve">explanted </w:t>
      </w:r>
      <w:r w:rsidR="00A77F69" w:rsidRPr="005011B1">
        <w:rPr>
          <w:color w:val="000000"/>
          <w:lang w:val="en-US"/>
        </w:rPr>
        <w:t xml:space="preserve">from calendar March 2013 </w:t>
      </w:r>
      <w:r w:rsidR="007B7DD7" w:rsidRPr="005011B1">
        <w:rPr>
          <w:color w:val="000000"/>
          <w:lang w:val="en-US"/>
        </w:rPr>
        <w:t>to</w:t>
      </w:r>
      <w:r w:rsidR="00A77F69" w:rsidRPr="005011B1">
        <w:rPr>
          <w:color w:val="000000"/>
          <w:lang w:val="en-US"/>
        </w:rPr>
        <w:t xml:space="preserve"> calendar May 2015</w:t>
      </w:r>
      <w:r w:rsidR="004C4DD4" w:rsidRPr="005011B1">
        <w:rPr>
          <w:color w:val="000000"/>
          <w:lang w:val="en-US"/>
        </w:rPr>
        <w:t xml:space="preserve">. Conversely, </w:t>
      </w:r>
      <w:proofErr w:type="spellStart"/>
      <w:r w:rsidR="00913803" w:rsidRPr="005011B1">
        <w:rPr>
          <w:color w:val="000000"/>
          <w:lang w:val="en-US"/>
        </w:rPr>
        <w:t>Manolis</w:t>
      </w:r>
      <w:proofErr w:type="spellEnd"/>
      <w:r w:rsidR="00913803" w:rsidRPr="005011B1">
        <w:rPr>
          <w:color w:val="000000"/>
          <w:lang w:val="en-US"/>
        </w:rPr>
        <w:t xml:space="preserve"> et al</w:t>
      </w:r>
      <w:proofErr w:type="gramStart"/>
      <w:r w:rsidR="00431D2E" w:rsidRPr="005011B1">
        <w:rPr>
          <w:noProof/>
          <w:color w:val="000000"/>
          <w:vertAlign w:val="superscript"/>
          <w:lang w:val="en-US"/>
        </w:rPr>
        <w:t>8</w:t>
      </w:r>
      <w:r w:rsidR="00913803" w:rsidRPr="005011B1">
        <w:rPr>
          <w:color w:val="000000"/>
          <w:lang w:val="en-US"/>
        </w:rPr>
        <w:t xml:space="preserve">  assessed</w:t>
      </w:r>
      <w:proofErr w:type="gramEnd"/>
      <w:r w:rsidR="00913803" w:rsidRPr="005011B1">
        <w:rPr>
          <w:color w:val="000000"/>
          <w:lang w:val="en-US"/>
        </w:rPr>
        <w:t xml:space="preserve"> ICD </w:t>
      </w:r>
      <w:r w:rsidR="004C4DD4" w:rsidRPr="005011B1">
        <w:rPr>
          <w:color w:val="000000"/>
          <w:lang w:val="en-US"/>
        </w:rPr>
        <w:t>service-life</w:t>
      </w:r>
      <w:r w:rsidR="00913803" w:rsidRPr="005011B1">
        <w:rPr>
          <w:color w:val="000000"/>
          <w:lang w:val="en-US"/>
        </w:rPr>
        <w:t xml:space="preserve"> over a 20 year period among 685 patients</w:t>
      </w:r>
      <w:r w:rsidR="00314987" w:rsidRPr="005011B1">
        <w:rPr>
          <w:color w:val="000000"/>
          <w:lang w:val="en-US"/>
        </w:rPr>
        <w:t>,</w:t>
      </w:r>
      <w:r w:rsidR="00913803" w:rsidRPr="005011B1">
        <w:rPr>
          <w:color w:val="000000"/>
          <w:lang w:val="en-US"/>
        </w:rPr>
        <w:t xml:space="preserve"> the </w:t>
      </w:r>
      <w:r w:rsidR="005B5D40" w:rsidRPr="005011B1">
        <w:rPr>
          <w:color w:val="000000"/>
          <w:lang w:val="en-US"/>
        </w:rPr>
        <w:t xml:space="preserve">vast majority </w:t>
      </w:r>
      <w:r w:rsidR="00314987" w:rsidRPr="005011B1">
        <w:rPr>
          <w:color w:val="000000"/>
          <w:lang w:val="en-US"/>
        </w:rPr>
        <w:t>of them implanted with</w:t>
      </w:r>
      <w:r w:rsidR="005B5D40" w:rsidRPr="005011B1">
        <w:rPr>
          <w:color w:val="000000"/>
          <w:lang w:val="en-US"/>
        </w:rPr>
        <w:t xml:space="preserve"> an ICD</w:t>
      </w:r>
      <w:r w:rsidR="00913803" w:rsidRPr="005011B1">
        <w:rPr>
          <w:color w:val="000000"/>
          <w:lang w:val="en-US"/>
        </w:rPr>
        <w:t xml:space="preserve"> for secondary prevention</w:t>
      </w:r>
      <w:r w:rsidR="004C4DD4" w:rsidRPr="005011B1">
        <w:rPr>
          <w:color w:val="000000"/>
          <w:lang w:val="en-US"/>
        </w:rPr>
        <w:t xml:space="preserve">; they estimated a mean service-life of </w:t>
      </w:r>
      <w:r w:rsidR="005B5D40" w:rsidRPr="005011B1">
        <w:rPr>
          <w:color w:val="000000"/>
          <w:lang w:val="en-US"/>
        </w:rPr>
        <w:t>58.3</w:t>
      </w:r>
      <w:r w:rsidR="004C4DD4" w:rsidRPr="005011B1">
        <w:rPr>
          <w:color w:val="000000"/>
          <w:lang w:val="en-US"/>
        </w:rPr>
        <w:sym w:font="Symbol" w:char="F0B1"/>
      </w:r>
      <w:r w:rsidR="004C4DD4" w:rsidRPr="005011B1">
        <w:rPr>
          <w:color w:val="000000"/>
          <w:lang w:val="en-US"/>
        </w:rPr>
        <w:t>18.7</w:t>
      </w:r>
      <w:r w:rsidR="00913803" w:rsidRPr="005011B1">
        <w:rPr>
          <w:color w:val="000000"/>
          <w:lang w:val="en-US"/>
        </w:rPr>
        <w:t xml:space="preserve"> </w:t>
      </w:r>
      <w:r w:rsidR="00913803" w:rsidRPr="005011B1">
        <w:rPr>
          <w:color w:val="000000"/>
          <w:lang w:val="en-US"/>
        </w:rPr>
        <w:lastRenderedPageBreak/>
        <w:t>months</w:t>
      </w:r>
      <w:r w:rsidR="005B5D40" w:rsidRPr="005011B1">
        <w:rPr>
          <w:color w:val="000000"/>
          <w:lang w:val="en-US"/>
        </w:rPr>
        <w:t>. In another single-center study</w:t>
      </w:r>
      <w:r w:rsidR="00546101">
        <w:rPr>
          <w:color w:val="000000"/>
          <w:lang w:val="en-US"/>
        </w:rPr>
        <w:t>,</w:t>
      </w:r>
      <w:r w:rsidR="003E5E78" w:rsidRPr="005011B1">
        <w:rPr>
          <w:color w:val="000000"/>
          <w:lang w:val="en-US"/>
        </w:rPr>
        <w:t xml:space="preserve"> </w:t>
      </w:r>
      <w:r w:rsidR="005B5D40" w:rsidRPr="005011B1">
        <w:rPr>
          <w:color w:val="000000"/>
          <w:lang w:val="en-US"/>
        </w:rPr>
        <w:t xml:space="preserve">the mean longevity of 1665 devices implanted in 1272 </w:t>
      </w:r>
      <w:r w:rsidR="005B5D40" w:rsidRPr="007B6F20">
        <w:rPr>
          <w:rFonts w:cs="Calibri"/>
          <w:color w:val="000000"/>
          <w:lang w:val="en-US"/>
        </w:rPr>
        <w:t xml:space="preserve">patients </w:t>
      </w:r>
      <w:r w:rsidR="00B74D93" w:rsidRPr="007B6F20">
        <w:rPr>
          <w:rFonts w:cs="Calibri"/>
          <w:color w:val="000000" w:themeColor="text1"/>
          <w:shd w:val="clear" w:color="auto" w:fill="FFFFFF"/>
          <w:lang w:val="en-GB"/>
        </w:rPr>
        <w:t xml:space="preserve">between </w:t>
      </w:r>
      <w:r w:rsidR="00312277">
        <w:rPr>
          <w:rFonts w:cs="Calibri"/>
          <w:color w:val="000000" w:themeColor="text1"/>
          <w:shd w:val="clear" w:color="auto" w:fill="FFFFFF"/>
          <w:lang w:val="en-GB"/>
        </w:rPr>
        <w:t xml:space="preserve">calendar year </w:t>
      </w:r>
      <w:r w:rsidR="00B74D93" w:rsidRPr="007B6F20">
        <w:rPr>
          <w:rFonts w:cs="Calibri"/>
          <w:color w:val="000000" w:themeColor="text1"/>
          <w:shd w:val="clear" w:color="auto" w:fill="FFFFFF"/>
          <w:lang w:val="en-GB"/>
        </w:rPr>
        <w:t xml:space="preserve">1998 and </w:t>
      </w:r>
      <w:r w:rsidR="00312277">
        <w:rPr>
          <w:rFonts w:cs="Calibri"/>
          <w:color w:val="000000" w:themeColor="text1"/>
          <w:shd w:val="clear" w:color="auto" w:fill="FFFFFF"/>
          <w:lang w:val="en-GB"/>
        </w:rPr>
        <w:t xml:space="preserve">calendar year </w:t>
      </w:r>
      <w:r w:rsidR="00B74D93" w:rsidRPr="007B6F20">
        <w:rPr>
          <w:rFonts w:cs="Calibri"/>
          <w:color w:val="000000" w:themeColor="text1"/>
          <w:shd w:val="clear" w:color="auto" w:fill="FFFFFF"/>
          <w:lang w:val="en-GB"/>
        </w:rPr>
        <w:t>2010 </w:t>
      </w:r>
      <w:r w:rsidR="005B5D40" w:rsidRPr="007B6F20">
        <w:rPr>
          <w:rFonts w:cs="Calibri"/>
          <w:color w:val="000000" w:themeColor="text1"/>
          <w:lang w:val="en-US"/>
        </w:rPr>
        <w:t>ranged from 5</w:t>
      </w:r>
      <w:r w:rsidR="005B5D40" w:rsidRPr="007B6F20">
        <w:rPr>
          <w:rFonts w:cs="Calibri"/>
          <w:color w:val="000000"/>
          <w:lang w:val="en-US"/>
        </w:rPr>
        <w:t>.2 to 5.</w:t>
      </w:r>
      <w:r w:rsidR="005B5D40" w:rsidRPr="005011B1">
        <w:rPr>
          <w:color w:val="000000"/>
          <w:lang w:val="en-US"/>
        </w:rPr>
        <w:t>7 years according to different manufactures.</w:t>
      </w:r>
      <w:r w:rsidR="00B7107A" w:rsidRPr="005011B1">
        <w:rPr>
          <w:noProof/>
          <w:color w:val="000000"/>
          <w:vertAlign w:val="superscript"/>
          <w:lang w:val="en-US"/>
        </w:rPr>
        <w:t>10</w:t>
      </w:r>
      <w:r w:rsidR="005B5D40" w:rsidRPr="005011B1">
        <w:rPr>
          <w:color w:val="000000"/>
          <w:lang w:val="en-US"/>
        </w:rPr>
        <w:t xml:space="preserve"> Device type and percentage of pacing, but not pacing output and ICD shocks, had an influence on battery longevity. </w:t>
      </w:r>
      <w:r w:rsidR="00431D2E" w:rsidRPr="005011B1">
        <w:rPr>
          <w:noProof/>
          <w:color w:val="000000"/>
          <w:vertAlign w:val="superscript"/>
          <w:lang w:val="en-US"/>
        </w:rPr>
        <w:t>10</w:t>
      </w:r>
    </w:p>
    <w:p w14:paraId="575F3830" w14:textId="77777777" w:rsidR="00F223F1" w:rsidRPr="005011B1" w:rsidRDefault="00EF0EA2" w:rsidP="456EB3F9">
      <w:pPr>
        <w:spacing w:line="480" w:lineRule="auto"/>
        <w:rPr>
          <w:color w:val="000000"/>
          <w:lang w:val="en-US"/>
        </w:rPr>
      </w:pPr>
      <w:r w:rsidRPr="005011B1">
        <w:rPr>
          <w:color w:val="000000"/>
          <w:lang w:val="en-US"/>
        </w:rPr>
        <w:t>Data from Literature confirm our finding that</w:t>
      </w:r>
      <w:r w:rsidR="00B372BB" w:rsidRPr="005011B1">
        <w:rPr>
          <w:color w:val="000000"/>
          <w:lang w:val="en-US"/>
        </w:rPr>
        <w:t xml:space="preserve"> longevity of CRT-D is shorter than that of VR and DR ICDs, which can be intuitively explained by the higher percentage of pacing</w:t>
      </w:r>
      <w:r w:rsidR="00D92542" w:rsidRPr="005011B1">
        <w:rPr>
          <w:color w:val="000000"/>
          <w:lang w:val="en-US"/>
        </w:rPr>
        <w:t>, esp</w:t>
      </w:r>
      <w:r w:rsidR="00A821E2" w:rsidRPr="005011B1">
        <w:rPr>
          <w:color w:val="000000"/>
          <w:lang w:val="en-US"/>
        </w:rPr>
        <w:t>ecially left-ventricular pacing, and by the device complexity</w:t>
      </w:r>
      <w:r w:rsidR="00FD2621" w:rsidRPr="005011B1">
        <w:rPr>
          <w:color w:val="000000"/>
          <w:lang w:val="en-US"/>
        </w:rPr>
        <w:t>.</w:t>
      </w:r>
      <w:r w:rsidR="00347663" w:rsidRPr="00B81699">
        <w:rPr>
          <w:noProof/>
          <w:vertAlign w:val="superscript"/>
          <w:lang w:val="en-US"/>
        </w:rPr>
        <w:t>13,16,30</w:t>
      </w:r>
    </w:p>
    <w:p w14:paraId="7AFB61ED" w14:textId="5DDFCC04" w:rsidR="009325B6" w:rsidRPr="005011B1" w:rsidRDefault="003D2962" w:rsidP="00795821">
      <w:pPr>
        <w:spacing w:line="480" w:lineRule="auto"/>
        <w:rPr>
          <w:color w:val="000000"/>
          <w:lang w:val="en-US"/>
        </w:rPr>
      </w:pPr>
      <w:r w:rsidRPr="005011B1">
        <w:rPr>
          <w:color w:val="000000"/>
          <w:lang w:val="en-US"/>
        </w:rPr>
        <w:t xml:space="preserve">Battery end of life is the most frequent cause of </w:t>
      </w:r>
      <w:r w:rsidR="00F10103" w:rsidRPr="005011B1">
        <w:rPr>
          <w:color w:val="000000"/>
          <w:lang w:val="en-US"/>
        </w:rPr>
        <w:t xml:space="preserve">device replacement </w:t>
      </w:r>
      <w:proofErr w:type="gramStart"/>
      <w:r w:rsidR="00F10103" w:rsidRPr="005011B1">
        <w:rPr>
          <w:color w:val="000000"/>
          <w:lang w:val="en-US"/>
        </w:rPr>
        <w:t xml:space="preserve">interventions </w:t>
      </w:r>
      <w:r w:rsidR="006B33CA" w:rsidRPr="005011B1">
        <w:rPr>
          <w:color w:val="000000"/>
          <w:lang w:val="en-US"/>
        </w:rPr>
        <w:t xml:space="preserve"> also</w:t>
      </w:r>
      <w:proofErr w:type="gramEnd"/>
      <w:r w:rsidR="006B33CA" w:rsidRPr="005011B1">
        <w:rPr>
          <w:color w:val="000000"/>
          <w:lang w:val="en-US"/>
        </w:rPr>
        <w:t xml:space="preserve"> </w:t>
      </w:r>
      <w:r w:rsidR="005F692A">
        <w:rPr>
          <w:color w:val="000000"/>
          <w:lang w:val="en-US"/>
        </w:rPr>
        <w:t>in</w:t>
      </w:r>
      <w:r w:rsidR="006B33CA" w:rsidRPr="005011B1">
        <w:rPr>
          <w:color w:val="000000"/>
          <w:lang w:val="en-US"/>
        </w:rPr>
        <w:t xml:space="preserve"> previous studies</w:t>
      </w:r>
      <w:r w:rsidR="00431D2E" w:rsidRPr="005011B1">
        <w:rPr>
          <w:noProof/>
          <w:color w:val="000000"/>
          <w:vertAlign w:val="superscript"/>
          <w:lang w:val="en-US"/>
        </w:rPr>
        <w:t>9,29,30</w:t>
      </w:r>
      <w:r w:rsidR="00C36FCE">
        <w:rPr>
          <w:color w:val="000000"/>
          <w:lang w:val="en-US"/>
        </w:rPr>
        <w:t>. O</w:t>
      </w:r>
      <w:r w:rsidR="00A821E2" w:rsidRPr="005011B1">
        <w:rPr>
          <w:color w:val="000000"/>
          <w:lang w:val="en-US"/>
        </w:rPr>
        <w:t xml:space="preserve">nly </w:t>
      </w:r>
      <w:proofErr w:type="spellStart"/>
      <w:r w:rsidRPr="005011B1">
        <w:rPr>
          <w:color w:val="000000"/>
          <w:lang w:val="en-US"/>
        </w:rPr>
        <w:t>Thjissen</w:t>
      </w:r>
      <w:proofErr w:type="spellEnd"/>
      <w:r w:rsidRPr="005011B1">
        <w:rPr>
          <w:color w:val="000000"/>
          <w:lang w:val="en-US"/>
        </w:rPr>
        <w:t xml:space="preserve"> et al.</w:t>
      </w:r>
      <w:r w:rsidR="00431D2E" w:rsidRPr="005011B1">
        <w:rPr>
          <w:noProof/>
          <w:color w:val="000000"/>
          <w:vertAlign w:val="superscript"/>
          <w:lang w:val="en-US"/>
        </w:rPr>
        <w:t>29</w:t>
      </w:r>
      <w:r w:rsidRPr="005011B1">
        <w:rPr>
          <w:color w:val="000000"/>
          <w:lang w:val="en-US"/>
        </w:rPr>
        <w:t xml:space="preserve"> found higher percentages of substitution for </w:t>
      </w:r>
      <w:r w:rsidR="00451201">
        <w:rPr>
          <w:color w:val="000000"/>
          <w:lang w:val="en-US"/>
        </w:rPr>
        <w:t>erosion</w:t>
      </w:r>
      <w:r w:rsidRPr="005011B1">
        <w:rPr>
          <w:color w:val="000000"/>
          <w:lang w:val="en-US"/>
        </w:rPr>
        <w:t>/infection</w:t>
      </w:r>
      <w:r w:rsidR="00F10103" w:rsidRPr="005011B1">
        <w:rPr>
          <w:color w:val="000000"/>
          <w:lang w:val="en-US"/>
        </w:rPr>
        <w:t>s</w:t>
      </w:r>
      <w:r w:rsidRPr="005011B1">
        <w:rPr>
          <w:color w:val="000000"/>
          <w:lang w:val="en-US"/>
        </w:rPr>
        <w:t xml:space="preserve"> and recall</w:t>
      </w:r>
      <w:r w:rsidR="00F10103" w:rsidRPr="005011B1">
        <w:rPr>
          <w:color w:val="000000"/>
          <w:lang w:val="en-US"/>
        </w:rPr>
        <w:t>s</w:t>
      </w:r>
      <w:r w:rsidR="00613D25" w:rsidRPr="005011B1">
        <w:rPr>
          <w:color w:val="000000"/>
          <w:lang w:val="en-US"/>
        </w:rPr>
        <w:t>,</w:t>
      </w:r>
      <w:r w:rsidRPr="005011B1">
        <w:rPr>
          <w:color w:val="000000"/>
          <w:lang w:val="en-US"/>
        </w:rPr>
        <w:t xml:space="preserve"> but their population included patients implanted with an ICD from calendar year 1996. </w:t>
      </w:r>
    </w:p>
    <w:p w14:paraId="18E8AECC" w14:textId="77777777" w:rsidR="0099570B" w:rsidRPr="005011B1" w:rsidRDefault="009325B6" w:rsidP="00795821">
      <w:pPr>
        <w:spacing w:line="480" w:lineRule="auto"/>
        <w:rPr>
          <w:color w:val="000000"/>
          <w:lang w:val="en-US"/>
        </w:rPr>
      </w:pPr>
      <w:r w:rsidRPr="005011B1">
        <w:rPr>
          <w:color w:val="000000"/>
          <w:lang w:val="en-US"/>
        </w:rPr>
        <w:t xml:space="preserve">The trend toward a prolongation of </w:t>
      </w:r>
      <w:r w:rsidR="00057555" w:rsidRPr="005011B1">
        <w:rPr>
          <w:color w:val="000000"/>
          <w:lang w:val="en-US"/>
        </w:rPr>
        <w:t>service-life</w:t>
      </w:r>
      <w:r w:rsidR="00F10103" w:rsidRPr="005011B1">
        <w:rPr>
          <w:color w:val="000000"/>
          <w:lang w:val="en-US"/>
        </w:rPr>
        <w:t xml:space="preserve"> </w:t>
      </w:r>
      <w:r w:rsidRPr="005011B1">
        <w:rPr>
          <w:color w:val="000000"/>
          <w:lang w:val="en-US"/>
        </w:rPr>
        <w:t xml:space="preserve">over the years, across all ICD types, has been highlighted </w:t>
      </w:r>
      <w:r w:rsidR="00A93581" w:rsidRPr="005011B1">
        <w:rPr>
          <w:color w:val="000000"/>
          <w:lang w:val="en-US"/>
        </w:rPr>
        <w:t xml:space="preserve">in </w:t>
      </w:r>
      <w:r w:rsidR="00AE7D2D" w:rsidRPr="005011B1">
        <w:rPr>
          <w:color w:val="000000"/>
          <w:lang w:val="en-US"/>
        </w:rPr>
        <w:t>previous studies</w:t>
      </w:r>
      <w:r w:rsidRPr="005011B1">
        <w:rPr>
          <w:color w:val="000000"/>
          <w:lang w:val="en-US"/>
        </w:rPr>
        <w:t xml:space="preserve"> and is attributable to technology improvements. </w:t>
      </w:r>
      <w:r w:rsidR="00431D2E" w:rsidRPr="005011B1">
        <w:rPr>
          <w:noProof/>
          <w:color w:val="000000"/>
          <w:vertAlign w:val="superscript"/>
          <w:lang w:val="en-US"/>
        </w:rPr>
        <w:t>9,</w:t>
      </w:r>
      <w:proofErr w:type="gramStart"/>
      <w:r w:rsidR="00431D2E" w:rsidRPr="005011B1">
        <w:rPr>
          <w:noProof/>
          <w:color w:val="000000"/>
          <w:vertAlign w:val="superscript"/>
          <w:lang w:val="en-US"/>
        </w:rPr>
        <w:t>29</w:t>
      </w:r>
      <w:r w:rsidR="0099570B" w:rsidRPr="005011B1">
        <w:rPr>
          <w:color w:val="000000"/>
          <w:lang w:val="en-US"/>
        </w:rPr>
        <w:t xml:space="preserve">  The</w:t>
      </w:r>
      <w:proofErr w:type="gramEnd"/>
      <w:r w:rsidR="0099570B" w:rsidRPr="005011B1">
        <w:rPr>
          <w:color w:val="000000"/>
          <w:lang w:val="en-US"/>
        </w:rPr>
        <w:t xml:space="preserve"> long-term effects of </w:t>
      </w:r>
      <w:r w:rsidR="00AE7D2D" w:rsidRPr="005011B1">
        <w:rPr>
          <w:color w:val="000000"/>
          <w:lang w:val="en-US"/>
        </w:rPr>
        <w:t>up-to-date</w:t>
      </w:r>
      <w:r w:rsidR="0099570B" w:rsidRPr="005011B1">
        <w:rPr>
          <w:color w:val="000000"/>
          <w:lang w:val="en-US"/>
        </w:rPr>
        <w:t xml:space="preserve"> ICD technology and programming should be evaluated in the future and compared with the longevity </w:t>
      </w:r>
      <w:r w:rsidR="00AE7D2D" w:rsidRPr="005011B1">
        <w:rPr>
          <w:color w:val="000000"/>
          <w:lang w:val="en-US"/>
        </w:rPr>
        <w:t xml:space="preserve">predicted by </w:t>
      </w:r>
      <w:r w:rsidR="0099570B" w:rsidRPr="005011B1">
        <w:rPr>
          <w:color w:val="000000"/>
          <w:lang w:val="en-US"/>
        </w:rPr>
        <w:t>industry models</w:t>
      </w:r>
      <w:r w:rsidR="003E5E78" w:rsidRPr="005011B1">
        <w:rPr>
          <w:color w:val="000000"/>
          <w:lang w:val="en-US"/>
        </w:rPr>
        <w:t>.</w:t>
      </w:r>
      <w:r w:rsidR="00431D2E" w:rsidRPr="005011B1">
        <w:rPr>
          <w:noProof/>
          <w:color w:val="000000"/>
          <w:vertAlign w:val="superscript"/>
          <w:lang w:val="en-US"/>
        </w:rPr>
        <w:t>31</w:t>
      </w:r>
    </w:p>
    <w:p w14:paraId="31867897" w14:textId="77777777" w:rsidR="00A93581" w:rsidRPr="005011B1" w:rsidRDefault="00A93581" w:rsidP="456EB3F9">
      <w:pPr>
        <w:spacing w:line="480" w:lineRule="auto"/>
        <w:rPr>
          <w:color w:val="000000"/>
          <w:lang w:val="en-US"/>
        </w:rPr>
      </w:pPr>
      <w:r w:rsidRPr="005011B1">
        <w:rPr>
          <w:color w:val="000000"/>
          <w:lang w:val="en-US"/>
        </w:rPr>
        <w:t>Since th</w:t>
      </w:r>
      <w:r w:rsidR="006E733D" w:rsidRPr="005011B1">
        <w:rPr>
          <w:color w:val="000000"/>
          <w:lang w:val="en-US"/>
        </w:rPr>
        <w:t>e</w:t>
      </w:r>
      <w:r w:rsidRPr="005011B1">
        <w:rPr>
          <w:color w:val="000000"/>
          <w:lang w:val="en-US"/>
        </w:rPr>
        <w:t xml:space="preserve"> cost of ICD therapy is typically characterized by the upfront cost of the device, at implant or replacement</w:t>
      </w:r>
      <w:r w:rsidR="00431D2E" w:rsidRPr="005011B1">
        <w:rPr>
          <w:noProof/>
          <w:color w:val="000000"/>
          <w:vertAlign w:val="superscript"/>
          <w:lang w:val="en-US"/>
        </w:rPr>
        <w:t>32</w:t>
      </w:r>
      <w:r w:rsidRPr="005011B1">
        <w:rPr>
          <w:color w:val="000000"/>
          <w:lang w:val="en-US"/>
        </w:rPr>
        <w:t>, the pos</w:t>
      </w:r>
      <w:r w:rsidR="00F72E47" w:rsidRPr="005011B1">
        <w:rPr>
          <w:color w:val="000000"/>
          <w:lang w:val="en-US"/>
        </w:rPr>
        <w:t xml:space="preserve">itive trend in </w:t>
      </w:r>
      <w:r w:rsidR="00057555" w:rsidRPr="005011B1">
        <w:rPr>
          <w:color w:val="000000"/>
          <w:lang w:val="en-US"/>
        </w:rPr>
        <w:t>service-life</w:t>
      </w:r>
      <w:r w:rsidR="00CC5278" w:rsidRPr="005011B1">
        <w:rPr>
          <w:color w:val="000000"/>
          <w:lang w:val="en-US"/>
        </w:rPr>
        <w:t xml:space="preserve"> </w:t>
      </w:r>
      <w:r w:rsidR="00F72E47" w:rsidRPr="005011B1">
        <w:rPr>
          <w:color w:val="000000"/>
          <w:lang w:val="en-US"/>
        </w:rPr>
        <w:t>that emerges in our</w:t>
      </w:r>
      <w:r w:rsidRPr="005011B1">
        <w:rPr>
          <w:color w:val="000000"/>
          <w:lang w:val="en-US"/>
        </w:rPr>
        <w:t xml:space="preserve"> analysis</w:t>
      </w:r>
      <w:r w:rsidR="006E733D" w:rsidRPr="005011B1">
        <w:rPr>
          <w:color w:val="000000"/>
          <w:lang w:val="en-US"/>
        </w:rPr>
        <w:t xml:space="preserve"> has important implications for the organization of care and for the </w:t>
      </w:r>
      <w:proofErr w:type="gramStart"/>
      <w:r w:rsidR="006E733D" w:rsidRPr="005011B1">
        <w:rPr>
          <w:color w:val="000000"/>
          <w:lang w:val="en-US"/>
        </w:rPr>
        <w:t>fin</w:t>
      </w:r>
      <w:r w:rsidR="00CC5278" w:rsidRPr="005011B1">
        <w:rPr>
          <w:color w:val="000000"/>
          <w:lang w:val="en-US"/>
        </w:rPr>
        <w:t>ancial  resources</w:t>
      </w:r>
      <w:proofErr w:type="gramEnd"/>
      <w:r w:rsidR="00CC5278" w:rsidRPr="005011B1">
        <w:rPr>
          <w:color w:val="000000"/>
          <w:lang w:val="en-US"/>
        </w:rPr>
        <w:t xml:space="preserve"> spent for ICD therapy </w:t>
      </w:r>
      <w:r w:rsidR="006E733D" w:rsidRPr="005011B1">
        <w:rPr>
          <w:color w:val="000000"/>
          <w:lang w:val="en-US"/>
        </w:rPr>
        <w:t xml:space="preserve">. The population across western countries is becoming older </w:t>
      </w:r>
      <w:r w:rsidR="00431D2E" w:rsidRPr="005011B1">
        <w:rPr>
          <w:noProof/>
          <w:color w:val="000000"/>
          <w:vertAlign w:val="superscript"/>
          <w:lang w:val="en-US"/>
        </w:rPr>
        <w:t>33</w:t>
      </w:r>
      <w:r w:rsidR="006E733D" w:rsidRPr="005011B1">
        <w:rPr>
          <w:color w:val="000000"/>
          <w:lang w:val="en-US"/>
        </w:rPr>
        <w:t xml:space="preserve"> and the lengthening of ICD </w:t>
      </w:r>
      <w:r w:rsidR="00057555" w:rsidRPr="005011B1">
        <w:rPr>
          <w:color w:val="000000"/>
          <w:lang w:val="en-US"/>
        </w:rPr>
        <w:t>service-life</w:t>
      </w:r>
      <w:r w:rsidR="006E733D" w:rsidRPr="005011B1">
        <w:rPr>
          <w:color w:val="000000"/>
          <w:lang w:val="en-US"/>
        </w:rPr>
        <w:t xml:space="preserve"> may allow to distribute the saved resources to a wider patient population. </w:t>
      </w:r>
      <w:r w:rsidRPr="005011B1">
        <w:rPr>
          <w:color w:val="000000"/>
          <w:lang w:val="en-US"/>
        </w:rPr>
        <w:t xml:space="preserve"> </w:t>
      </w:r>
    </w:p>
    <w:p w14:paraId="0ECD0057" w14:textId="3A6E4A7A" w:rsidR="004C36F6" w:rsidRPr="006F35ED" w:rsidRDefault="00613D25" w:rsidP="00795821">
      <w:pPr>
        <w:spacing w:line="480" w:lineRule="auto"/>
        <w:rPr>
          <w:color w:val="000000"/>
          <w:vertAlign w:val="superscript"/>
          <w:lang w:val="en-US"/>
        </w:rPr>
      </w:pPr>
      <w:r w:rsidRPr="005011B1">
        <w:rPr>
          <w:b/>
          <w:color w:val="000000"/>
          <w:lang w:val="en-US"/>
        </w:rPr>
        <w:t>Study limitations</w:t>
      </w:r>
      <w:r w:rsidR="00AE7D2D" w:rsidRPr="005011B1">
        <w:rPr>
          <w:color w:val="000000"/>
          <w:lang w:val="en-US"/>
        </w:rPr>
        <w:t>.</w:t>
      </w:r>
      <w:r w:rsidR="00EA66A4" w:rsidRPr="005011B1">
        <w:rPr>
          <w:color w:val="000000"/>
          <w:lang w:val="en-US"/>
        </w:rPr>
        <w:t xml:space="preserve"> </w:t>
      </w:r>
      <w:r w:rsidR="00AE7D2D" w:rsidRPr="005011B1">
        <w:rPr>
          <w:color w:val="000000"/>
          <w:lang w:val="en-US"/>
        </w:rPr>
        <w:t>T</w:t>
      </w:r>
      <w:r w:rsidR="004C36F6" w:rsidRPr="005011B1">
        <w:rPr>
          <w:color w:val="000000"/>
          <w:lang w:val="en-US"/>
        </w:rPr>
        <w:t xml:space="preserve">he </w:t>
      </w:r>
      <w:r w:rsidR="00AE7D2D" w:rsidRPr="005011B1">
        <w:rPr>
          <w:color w:val="000000"/>
          <w:lang w:val="en-US"/>
        </w:rPr>
        <w:t xml:space="preserve">trend of service-life that </w:t>
      </w:r>
      <w:r w:rsidR="004C36F6" w:rsidRPr="005011B1">
        <w:rPr>
          <w:color w:val="000000"/>
          <w:lang w:val="en-US"/>
        </w:rPr>
        <w:t xml:space="preserve">we found could be explained by the characteristics of our </w:t>
      </w:r>
      <w:r w:rsidR="007745DF" w:rsidRPr="005011B1">
        <w:rPr>
          <w:color w:val="000000"/>
          <w:lang w:val="en-US"/>
        </w:rPr>
        <w:t>“</w:t>
      </w:r>
      <w:r w:rsidR="004C36F6" w:rsidRPr="005011B1">
        <w:rPr>
          <w:color w:val="000000"/>
          <w:lang w:val="en-US"/>
        </w:rPr>
        <w:t>real –wor</w:t>
      </w:r>
      <w:r w:rsidR="007745DF" w:rsidRPr="005011B1">
        <w:rPr>
          <w:color w:val="000000"/>
          <w:lang w:val="en-US"/>
        </w:rPr>
        <w:t>l</w:t>
      </w:r>
      <w:r w:rsidR="004C36F6" w:rsidRPr="005011B1">
        <w:rPr>
          <w:color w:val="000000"/>
          <w:lang w:val="en-US"/>
        </w:rPr>
        <w:t>d</w:t>
      </w:r>
      <w:r w:rsidR="007745DF" w:rsidRPr="005011B1">
        <w:rPr>
          <w:color w:val="000000"/>
          <w:lang w:val="en-US"/>
        </w:rPr>
        <w:t>”</w:t>
      </w:r>
      <w:r w:rsidR="004C36F6" w:rsidRPr="005011B1">
        <w:rPr>
          <w:color w:val="000000"/>
          <w:lang w:val="en-US"/>
        </w:rPr>
        <w:t xml:space="preserve"> a</w:t>
      </w:r>
      <w:r w:rsidR="00CB6534" w:rsidRPr="005011B1">
        <w:rPr>
          <w:color w:val="000000"/>
          <w:lang w:val="en-US"/>
        </w:rPr>
        <w:t>nalyses, which includes the device replacement</w:t>
      </w:r>
      <w:r w:rsidR="00D27FDB" w:rsidRPr="005011B1">
        <w:rPr>
          <w:color w:val="000000"/>
          <w:lang w:val="en-US"/>
        </w:rPr>
        <w:t xml:space="preserve">s collected in a whole nation; </w:t>
      </w:r>
      <w:r w:rsidR="004C36F6" w:rsidRPr="005011B1">
        <w:rPr>
          <w:color w:val="000000"/>
          <w:lang w:val="en-US"/>
        </w:rPr>
        <w:t xml:space="preserve">it is plausible that a significative percentage of our patients </w:t>
      </w:r>
      <w:r w:rsidR="004C36F6" w:rsidRPr="005011B1">
        <w:rPr>
          <w:color w:val="000000"/>
          <w:lang w:val="en-US"/>
        </w:rPr>
        <w:lastRenderedPageBreak/>
        <w:t>received less device optimization if compared to patients enrolled in prosp</w:t>
      </w:r>
      <w:r w:rsidR="00CC5278" w:rsidRPr="005011B1">
        <w:rPr>
          <w:color w:val="000000"/>
          <w:lang w:val="en-US"/>
        </w:rPr>
        <w:t>ective studies</w:t>
      </w:r>
      <w:r w:rsidR="00D27FDB" w:rsidRPr="005011B1">
        <w:rPr>
          <w:color w:val="000000"/>
          <w:lang w:val="en-US"/>
        </w:rPr>
        <w:t xml:space="preserve"> and performed in selected centers</w:t>
      </w:r>
      <w:r w:rsidR="00CC5278" w:rsidRPr="005011B1">
        <w:rPr>
          <w:color w:val="000000"/>
          <w:lang w:val="en-US"/>
        </w:rPr>
        <w:t xml:space="preserve">. </w:t>
      </w:r>
      <w:r w:rsidR="00CB6534" w:rsidRPr="005011B1">
        <w:rPr>
          <w:color w:val="000000"/>
          <w:lang w:val="en-US"/>
        </w:rPr>
        <w:t>In particular, t</w:t>
      </w:r>
      <w:r w:rsidR="00795AA8" w:rsidRPr="005011B1">
        <w:rPr>
          <w:color w:val="000000"/>
          <w:lang w:val="en-US"/>
        </w:rPr>
        <w:t xml:space="preserve">he Italian ICD registry did not consider the impact on </w:t>
      </w:r>
      <w:r w:rsidR="00057555" w:rsidRPr="005011B1">
        <w:rPr>
          <w:color w:val="000000"/>
          <w:lang w:val="en-US"/>
        </w:rPr>
        <w:t>service-life</w:t>
      </w:r>
      <w:r w:rsidR="004C36F6" w:rsidRPr="005011B1">
        <w:rPr>
          <w:color w:val="000000"/>
          <w:lang w:val="en-US"/>
        </w:rPr>
        <w:t xml:space="preserve"> of </w:t>
      </w:r>
      <w:r w:rsidR="00AE7D2D" w:rsidRPr="005011B1">
        <w:rPr>
          <w:color w:val="000000"/>
          <w:lang w:val="en-US"/>
        </w:rPr>
        <w:t xml:space="preserve">large-scale </w:t>
      </w:r>
      <w:r w:rsidR="00D27FDB" w:rsidRPr="005011B1">
        <w:rPr>
          <w:color w:val="000000"/>
          <w:lang w:val="en-US"/>
        </w:rPr>
        <w:t>implementation</w:t>
      </w:r>
      <w:r w:rsidR="00AE7D2D" w:rsidRPr="005011B1">
        <w:rPr>
          <w:color w:val="000000"/>
          <w:lang w:val="en-US"/>
        </w:rPr>
        <w:t xml:space="preserve"> of </w:t>
      </w:r>
      <w:r w:rsidR="00CB6534" w:rsidRPr="005011B1">
        <w:rPr>
          <w:color w:val="000000"/>
          <w:lang w:val="en-US"/>
        </w:rPr>
        <w:t xml:space="preserve">up-to-date </w:t>
      </w:r>
      <w:r w:rsidR="004C36F6" w:rsidRPr="005011B1">
        <w:rPr>
          <w:color w:val="000000"/>
          <w:lang w:val="en-US"/>
        </w:rPr>
        <w:t>device programming, including long detection strategies and shock avoidi</w:t>
      </w:r>
      <w:r w:rsidR="00795AA8" w:rsidRPr="005011B1">
        <w:rPr>
          <w:color w:val="000000"/>
          <w:lang w:val="en-US"/>
        </w:rPr>
        <w:t xml:space="preserve">ng </w:t>
      </w:r>
      <w:r w:rsidR="00D27FDB" w:rsidRPr="005011B1">
        <w:rPr>
          <w:color w:val="000000"/>
          <w:lang w:val="en-US"/>
        </w:rPr>
        <w:t>device settings</w:t>
      </w:r>
      <w:r w:rsidR="00AE7D2D" w:rsidRPr="005011B1">
        <w:rPr>
          <w:color w:val="000000"/>
          <w:lang w:val="en-US"/>
        </w:rPr>
        <w:t>.</w:t>
      </w:r>
      <w:r w:rsidR="00431D2E" w:rsidRPr="005011B1">
        <w:rPr>
          <w:noProof/>
          <w:color w:val="000000"/>
          <w:vertAlign w:val="superscript"/>
          <w:lang w:val="en-US"/>
        </w:rPr>
        <w:t>34–36</w:t>
      </w:r>
      <w:r w:rsidR="00EA66A4" w:rsidRPr="005011B1">
        <w:rPr>
          <w:color w:val="000000"/>
          <w:lang w:val="en-US"/>
        </w:rPr>
        <w:t xml:space="preserve"> In addition</w:t>
      </w:r>
      <w:r w:rsidR="00C922A4" w:rsidRPr="005011B1">
        <w:rPr>
          <w:color w:val="000000"/>
          <w:lang w:val="en-US"/>
        </w:rPr>
        <w:t>, t</w:t>
      </w:r>
      <w:r w:rsidR="00CB6534" w:rsidRPr="005011B1">
        <w:rPr>
          <w:color w:val="000000"/>
          <w:lang w:val="en-US"/>
        </w:rPr>
        <w:t xml:space="preserve">he </w:t>
      </w:r>
      <w:r w:rsidR="00C922A4" w:rsidRPr="005011B1">
        <w:rPr>
          <w:color w:val="000000"/>
          <w:lang w:val="en-US"/>
        </w:rPr>
        <w:t xml:space="preserve">effects on device longevity of the </w:t>
      </w:r>
      <w:r w:rsidR="00C36FCE">
        <w:rPr>
          <w:color w:val="000000"/>
          <w:lang w:val="en-US"/>
        </w:rPr>
        <w:t xml:space="preserve">different pacing programming, percentage of atrial and ventricular pacing during the follow-up, </w:t>
      </w:r>
      <w:r w:rsidR="00C922A4" w:rsidRPr="005011B1">
        <w:rPr>
          <w:color w:val="000000"/>
          <w:lang w:val="en-US"/>
        </w:rPr>
        <w:t xml:space="preserve">number and type of ICD interventions </w:t>
      </w:r>
      <w:r w:rsidR="00EA66A4" w:rsidRPr="005011B1">
        <w:rPr>
          <w:color w:val="000000"/>
          <w:lang w:val="en-US"/>
        </w:rPr>
        <w:t xml:space="preserve">(shock and/or ATP) </w:t>
      </w:r>
      <w:r w:rsidR="00D27FDB" w:rsidRPr="005011B1">
        <w:rPr>
          <w:color w:val="000000"/>
          <w:lang w:val="en-US"/>
        </w:rPr>
        <w:t xml:space="preserve">were not </w:t>
      </w:r>
      <w:r w:rsidR="00EA66A4" w:rsidRPr="005011B1">
        <w:rPr>
          <w:color w:val="000000"/>
          <w:lang w:val="en-US"/>
        </w:rPr>
        <w:t>analyzed</w:t>
      </w:r>
      <w:r w:rsidR="00D27FDB" w:rsidRPr="005011B1">
        <w:rPr>
          <w:color w:val="000000"/>
          <w:lang w:val="en-US"/>
        </w:rPr>
        <w:t xml:space="preserve"> in our study</w:t>
      </w:r>
      <w:r w:rsidR="00EA66A4" w:rsidRPr="005011B1">
        <w:rPr>
          <w:color w:val="000000"/>
          <w:lang w:val="en-US"/>
        </w:rPr>
        <w:t xml:space="preserve"> because not</w:t>
      </w:r>
      <w:r w:rsidR="00C922A4" w:rsidRPr="005011B1">
        <w:rPr>
          <w:color w:val="000000"/>
          <w:lang w:val="en-US"/>
        </w:rPr>
        <w:t xml:space="preserve"> included in the queries of the Italian ICD Registry</w:t>
      </w:r>
      <w:r w:rsidR="00247567" w:rsidRPr="005011B1">
        <w:rPr>
          <w:color w:val="000000"/>
          <w:lang w:val="en-US"/>
        </w:rPr>
        <w:t>.</w:t>
      </w:r>
      <w:r w:rsidR="00EA66A4" w:rsidRPr="005011B1">
        <w:rPr>
          <w:color w:val="000000"/>
          <w:lang w:val="en-US"/>
        </w:rPr>
        <w:t xml:space="preserve"> Finally, we did not consider the ICD and CRT-D service</w:t>
      </w:r>
      <w:r w:rsidR="004C4DD4" w:rsidRPr="005011B1">
        <w:rPr>
          <w:color w:val="000000"/>
          <w:lang w:val="en-US"/>
        </w:rPr>
        <w:t>-</w:t>
      </w:r>
      <w:r w:rsidR="00EA66A4" w:rsidRPr="005011B1">
        <w:rPr>
          <w:color w:val="000000"/>
          <w:lang w:val="en-US"/>
        </w:rPr>
        <w:t xml:space="preserve">life </w:t>
      </w:r>
      <w:r w:rsidR="004C4DD4" w:rsidRPr="005011B1">
        <w:rPr>
          <w:color w:val="000000"/>
          <w:lang w:val="en-US"/>
        </w:rPr>
        <w:t>according to</w:t>
      </w:r>
      <w:r w:rsidR="00EA66A4" w:rsidRPr="005011B1">
        <w:rPr>
          <w:color w:val="000000"/>
          <w:lang w:val="en-US"/>
        </w:rPr>
        <w:t xml:space="preserve"> the </w:t>
      </w:r>
      <w:r w:rsidR="00D27FDB" w:rsidRPr="005011B1">
        <w:rPr>
          <w:color w:val="000000"/>
          <w:lang w:val="en-US"/>
        </w:rPr>
        <w:t>specific</w:t>
      </w:r>
      <w:r w:rsidR="00EA66A4" w:rsidRPr="005011B1">
        <w:rPr>
          <w:color w:val="000000"/>
          <w:lang w:val="en-US"/>
        </w:rPr>
        <w:t xml:space="preserve"> manufacturer because this type of analysis </w:t>
      </w:r>
      <w:r w:rsidR="00D27FDB" w:rsidRPr="005011B1">
        <w:rPr>
          <w:color w:val="000000"/>
          <w:lang w:val="en-US"/>
        </w:rPr>
        <w:t>was not planned among the activities</w:t>
      </w:r>
      <w:r w:rsidR="00EA66A4" w:rsidRPr="005011B1">
        <w:rPr>
          <w:color w:val="000000"/>
          <w:lang w:val="en-US"/>
        </w:rPr>
        <w:t xml:space="preserve"> of the Italian ICD registry</w:t>
      </w:r>
      <w:r w:rsidR="00451201">
        <w:rPr>
          <w:color w:val="000000"/>
          <w:lang w:val="en-US"/>
        </w:rPr>
        <w:t xml:space="preserve"> and</w:t>
      </w:r>
      <w:r w:rsidR="00A8085C">
        <w:rPr>
          <w:color w:val="000000"/>
          <w:lang w:val="en-US"/>
        </w:rPr>
        <w:t xml:space="preserve"> </w:t>
      </w:r>
      <w:r w:rsidR="00451201">
        <w:rPr>
          <w:color w:val="000000"/>
          <w:lang w:val="en-US"/>
        </w:rPr>
        <w:t>could have been distorted by important technological inhomogeneities across a ten-year period. Similarly,</w:t>
      </w:r>
      <w:r w:rsidR="00C36FCE">
        <w:rPr>
          <w:color w:val="000000"/>
          <w:lang w:val="en-US"/>
        </w:rPr>
        <w:t xml:space="preserve"> other large and official ICD registries did not incl</w:t>
      </w:r>
      <w:r w:rsidR="009A1529">
        <w:rPr>
          <w:color w:val="000000"/>
          <w:lang w:val="en-US"/>
        </w:rPr>
        <w:t>ude in their reports</w:t>
      </w:r>
      <w:r w:rsidR="009B567F">
        <w:rPr>
          <w:color w:val="000000"/>
          <w:lang w:val="en-US"/>
        </w:rPr>
        <w:t xml:space="preserve"> a</w:t>
      </w:r>
      <w:r w:rsidR="009A1529">
        <w:rPr>
          <w:color w:val="000000"/>
          <w:lang w:val="en-US"/>
        </w:rPr>
        <w:t xml:space="preserve"> vendor analysis</w:t>
      </w:r>
      <w:r w:rsidR="00451201">
        <w:rPr>
          <w:color w:val="000000"/>
          <w:lang w:val="en-US"/>
        </w:rPr>
        <w:t>.</w:t>
      </w:r>
      <w:r w:rsidR="003A6561">
        <w:rPr>
          <w:color w:val="000000"/>
          <w:vertAlign w:val="superscript"/>
          <w:lang w:val="en-US"/>
        </w:rPr>
        <w:t>37-38</w:t>
      </w:r>
    </w:p>
    <w:p w14:paraId="6992C805" w14:textId="77777777" w:rsidR="00D27FDB" w:rsidRPr="005011B1" w:rsidRDefault="00D27FDB" w:rsidP="00795821">
      <w:pPr>
        <w:spacing w:line="480" w:lineRule="auto"/>
        <w:rPr>
          <w:color w:val="000000"/>
          <w:lang w:val="en-US"/>
        </w:rPr>
      </w:pPr>
    </w:p>
    <w:p w14:paraId="3F104D6B" w14:textId="77777777" w:rsidR="005932A2" w:rsidRPr="005011B1" w:rsidRDefault="005932A2" w:rsidP="00795821">
      <w:pPr>
        <w:spacing w:line="480" w:lineRule="auto"/>
        <w:rPr>
          <w:color w:val="000000"/>
          <w:lang w:val="en-US"/>
        </w:rPr>
      </w:pPr>
      <w:r w:rsidRPr="005011B1">
        <w:rPr>
          <w:color w:val="000000"/>
          <w:lang w:val="en-US"/>
        </w:rPr>
        <w:t>CONCLUSIONS</w:t>
      </w:r>
    </w:p>
    <w:p w14:paraId="6F76E765" w14:textId="13B2DBA4" w:rsidR="006E733D" w:rsidRPr="005011B1" w:rsidRDefault="456EB3F9" w:rsidP="456EB3F9">
      <w:pPr>
        <w:spacing w:line="480" w:lineRule="auto"/>
        <w:rPr>
          <w:color w:val="000000"/>
          <w:lang w:val="en-US"/>
        </w:rPr>
      </w:pPr>
      <w:r w:rsidRPr="005011B1">
        <w:rPr>
          <w:color w:val="000000"/>
          <w:lang w:val="en-US"/>
        </w:rPr>
        <w:t xml:space="preserve">The </w:t>
      </w:r>
      <w:r w:rsidR="003E344A" w:rsidRPr="005011B1">
        <w:rPr>
          <w:color w:val="000000"/>
          <w:lang w:val="en-US"/>
        </w:rPr>
        <w:t>ten-year</w:t>
      </w:r>
      <w:r w:rsidRPr="005011B1">
        <w:rPr>
          <w:color w:val="000000"/>
          <w:lang w:val="en-US"/>
        </w:rPr>
        <w:t xml:space="preserve"> analysis from 2007 to 2016 of the National Italian ICD Registry showed that around 29 000 patients underwent ICD and CRT-D replacement and that the trend of </w:t>
      </w:r>
      <w:proofErr w:type="gramStart"/>
      <w:r w:rsidRPr="005011B1">
        <w:rPr>
          <w:color w:val="000000"/>
          <w:lang w:val="en-US"/>
        </w:rPr>
        <w:t>ICD  service</w:t>
      </w:r>
      <w:proofErr w:type="gramEnd"/>
      <w:r w:rsidRPr="005011B1">
        <w:rPr>
          <w:color w:val="000000"/>
          <w:lang w:val="en-US"/>
        </w:rPr>
        <w:t xml:space="preserve">-life, independently from ICD type, indication and settings, significantly improved  over time. Moreover, the causes of replacement evolved over the ten-year period with </w:t>
      </w:r>
      <w:proofErr w:type="gramStart"/>
      <w:r w:rsidRPr="005011B1">
        <w:rPr>
          <w:color w:val="000000"/>
          <w:lang w:val="en-US"/>
        </w:rPr>
        <w:t>a  striking</w:t>
      </w:r>
      <w:proofErr w:type="gramEnd"/>
      <w:r w:rsidRPr="005011B1">
        <w:rPr>
          <w:color w:val="000000"/>
          <w:lang w:val="en-US"/>
        </w:rPr>
        <w:t xml:space="preserve"> reduction of interventions required for CRT upgrading and infection/</w:t>
      </w:r>
      <w:r w:rsidR="00451201">
        <w:rPr>
          <w:color w:val="000000"/>
          <w:lang w:val="en-US"/>
        </w:rPr>
        <w:t>erosion</w:t>
      </w:r>
      <w:r w:rsidRPr="005011B1">
        <w:rPr>
          <w:color w:val="000000"/>
          <w:lang w:val="en-US"/>
        </w:rPr>
        <w:t xml:space="preserve"> in </w:t>
      </w:r>
      <w:r w:rsidR="00FC6ABD" w:rsidRPr="005011B1">
        <w:rPr>
          <w:color w:val="000000"/>
          <w:lang w:val="en-US"/>
        </w:rPr>
        <w:t>favor</w:t>
      </w:r>
      <w:r w:rsidRPr="005011B1">
        <w:rPr>
          <w:color w:val="000000"/>
          <w:lang w:val="en-US"/>
        </w:rPr>
        <w:t xml:space="preserve"> of battery end of life.  The positive trend that emerged has important and favorable clinical, organizational and financial implications. </w:t>
      </w:r>
    </w:p>
    <w:p w14:paraId="3F98129D" w14:textId="0811C6A1" w:rsidR="006F35ED" w:rsidRDefault="006F35ED">
      <w:pPr>
        <w:rPr>
          <w:color w:val="000000"/>
          <w:lang w:val="en-US"/>
        </w:rPr>
      </w:pPr>
      <w:r>
        <w:rPr>
          <w:color w:val="000000"/>
          <w:lang w:val="en-US"/>
        </w:rPr>
        <w:br w:type="page"/>
      </w:r>
    </w:p>
    <w:p w14:paraId="480EF3DE" w14:textId="633270D0" w:rsidR="000942FD" w:rsidRPr="005011B1" w:rsidRDefault="456EB3F9" w:rsidP="456EB3F9">
      <w:pPr>
        <w:spacing w:line="480" w:lineRule="auto"/>
        <w:rPr>
          <w:color w:val="000000"/>
          <w:lang w:val="en-US"/>
        </w:rPr>
      </w:pPr>
      <w:r w:rsidRPr="005011B1">
        <w:rPr>
          <w:color w:val="000000"/>
          <w:lang w:val="en-US"/>
        </w:rPr>
        <w:lastRenderedPageBreak/>
        <w:t>CONFLICT OF INTEREST</w:t>
      </w:r>
      <w:r w:rsidR="000942FD" w:rsidRPr="00B81699">
        <w:rPr>
          <w:lang w:val="en-US"/>
        </w:rPr>
        <w:br/>
      </w:r>
      <w:proofErr w:type="gramStart"/>
      <w:r w:rsidRPr="005011B1">
        <w:rPr>
          <w:color w:val="000000"/>
          <w:lang w:val="en-US"/>
        </w:rPr>
        <w:t>GB  reports</w:t>
      </w:r>
      <w:proofErr w:type="gramEnd"/>
      <w:r w:rsidRPr="005011B1">
        <w:rPr>
          <w:color w:val="000000"/>
          <w:lang w:val="en-US"/>
        </w:rPr>
        <w:t xml:space="preserve"> speaker’s fees of small amount from </w:t>
      </w:r>
      <w:proofErr w:type="spellStart"/>
      <w:r w:rsidRPr="005011B1">
        <w:rPr>
          <w:color w:val="000000"/>
          <w:lang w:val="en-US"/>
        </w:rPr>
        <w:t>Biotronik</w:t>
      </w:r>
      <w:proofErr w:type="spellEnd"/>
      <w:r w:rsidRPr="005011B1">
        <w:rPr>
          <w:color w:val="000000"/>
          <w:lang w:val="en-US"/>
        </w:rPr>
        <w:t>, Boehringer Ingelheim, Boston and Medtronic</w:t>
      </w:r>
      <w:r w:rsidR="00B74D93">
        <w:rPr>
          <w:color w:val="000000"/>
          <w:lang w:val="en-US"/>
        </w:rPr>
        <w:t xml:space="preserve">. </w:t>
      </w:r>
    </w:p>
    <w:p w14:paraId="00AE5588" w14:textId="77777777" w:rsidR="00AD4E86" w:rsidRPr="005011B1" w:rsidRDefault="456EB3F9" w:rsidP="456EB3F9">
      <w:pPr>
        <w:spacing w:line="480" w:lineRule="auto"/>
        <w:rPr>
          <w:color w:val="000000"/>
          <w:lang w:val="en-US"/>
        </w:rPr>
      </w:pPr>
      <w:r w:rsidRPr="005011B1">
        <w:rPr>
          <w:color w:val="000000"/>
          <w:lang w:val="en-US"/>
        </w:rPr>
        <w:t xml:space="preserve">RPR reports minor consultancy fees by Medtronic, Boston Scientific and </w:t>
      </w:r>
      <w:proofErr w:type="spellStart"/>
      <w:r w:rsidRPr="005011B1">
        <w:rPr>
          <w:color w:val="000000"/>
          <w:lang w:val="en-US"/>
        </w:rPr>
        <w:t>Dompé</w:t>
      </w:r>
      <w:proofErr w:type="spellEnd"/>
    </w:p>
    <w:p w14:paraId="3B13F9A1" w14:textId="77777777" w:rsidR="00247D2C" w:rsidRPr="005011B1" w:rsidRDefault="456EB3F9" w:rsidP="456EB3F9">
      <w:pPr>
        <w:spacing w:line="480" w:lineRule="auto"/>
        <w:rPr>
          <w:color w:val="000000"/>
          <w:lang w:val="en-US"/>
        </w:rPr>
      </w:pPr>
      <w:r w:rsidRPr="005011B1">
        <w:rPr>
          <w:color w:val="000000"/>
          <w:lang w:val="en-US"/>
        </w:rPr>
        <w:t xml:space="preserve">ML reports modest speaker fees </w:t>
      </w:r>
      <w:r w:rsidR="00B5362F" w:rsidRPr="005011B1">
        <w:rPr>
          <w:color w:val="000000"/>
          <w:lang w:val="en-US"/>
        </w:rPr>
        <w:t>and</w:t>
      </w:r>
      <w:r w:rsidRPr="005011B1">
        <w:rPr>
          <w:color w:val="000000"/>
          <w:lang w:val="en-US"/>
        </w:rPr>
        <w:t xml:space="preserve"> modest advisory board grants from Boston Scientific, </w:t>
      </w:r>
      <w:proofErr w:type="spellStart"/>
      <w:r w:rsidRPr="005011B1">
        <w:rPr>
          <w:color w:val="000000"/>
          <w:lang w:val="en-US"/>
        </w:rPr>
        <w:t>LivaNova</w:t>
      </w:r>
      <w:proofErr w:type="spellEnd"/>
      <w:r w:rsidRPr="005011B1">
        <w:rPr>
          <w:color w:val="000000"/>
          <w:lang w:val="en-US"/>
        </w:rPr>
        <w:t xml:space="preserve"> and Medtronic.</w:t>
      </w:r>
    </w:p>
    <w:p w14:paraId="085C6A50" w14:textId="77777777" w:rsidR="456EB3F9" w:rsidRPr="005011B1" w:rsidRDefault="456EB3F9" w:rsidP="456EB3F9">
      <w:pPr>
        <w:spacing w:line="480" w:lineRule="auto"/>
        <w:rPr>
          <w:color w:val="000000"/>
          <w:lang w:val="en-US"/>
        </w:rPr>
      </w:pPr>
      <w:r w:rsidRPr="005011B1">
        <w:rPr>
          <w:color w:val="000000"/>
          <w:lang w:val="en-US"/>
        </w:rPr>
        <w:t xml:space="preserve">SP, MZ, </w:t>
      </w:r>
      <w:proofErr w:type="gramStart"/>
      <w:r w:rsidRPr="005011B1">
        <w:rPr>
          <w:color w:val="000000"/>
          <w:lang w:val="en-US"/>
        </w:rPr>
        <w:t>DF,MG</w:t>
      </w:r>
      <w:proofErr w:type="gramEnd"/>
      <w:r w:rsidRPr="005011B1">
        <w:rPr>
          <w:color w:val="000000"/>
          <w:lang w:val="en-US"/>
        </w:rPr>
        <w:t>,</w:t>
      </w:r>
      <w:r w:rsidR="009C3EE5" w:rsidRPr="005011B1">
        <w:rPr>
          <w:color w:val="000000"/>
          <w:lang w:val="en-US"/>
        </w:rPr>
        <w:t xml:space="preserve"> </w:t>
      </w:r>
      <w:r w:rsidRPr="005011B1">
        <w:rPr>
          <w:color w:val="000000"/>
          <w:lang w:val="en-US"/>
        </w:rPr>
        <w:t>CL, DG and AP do not have any conflict of interest to disclose.</w:t>
      </w:r>
    </w:p>
    <w:p w14:paraId="5C672F51" w14:textId="77777777" w:rsidR="456EB3F9" w:rsidRPr="005011B1" w:rsidRDefault="456EB3F9" w:rsidP="456EB3F9">
      <w:pPr>
        <w:spacing w:line="480" w:lineRule="auto"/>
        <w:rPr>
          <w:color w:val="000000"/>
          <w:lang w:val="en-US"/>
        </w:rPr>
      </w:pPr>
    </w:p>
    <w:p w14:paraId="7D8F0F5D" w14:textId="77777777" w:rsidR="00247D2C" w:rsidRPr="005011B1" w:rsidRDefault="00247D2C" w:rsidP="00123279">
      <w:pPr>
        <w:spacing w:line="480" w:lineRule="auto"/>
        <w:rPr>
          <w:color w:val="000000"/>
          <w:lang w:val="en-US"/>
        </w:rPr>
      </w:pPr>
    </w:p>
    <w:p w14:paraId="744D53ED" w14:textId="77777777" w:rsidR="006B76AF" w:rsidRPr="005011B1" w:rsidRDefault="006B76AF">
      <w:pPr>
        <w:rPr>
          <w:color w:val="000000"/>
          <w:lang w:val="en-US"/>
        </w:rPr>
      </w:pPr>
      <w:r w:rsidRPr="005011B1">
        <w:rPr>
          <w:color w:val="000000"/>
          <w:lang w:val="en-US"/>
        </w:rPr>
        <w:br w:type="page"/>
      </w:r>
    </w:p>
    <w:p w14:paraId="55998FBA" w14:textId="77777777" w:rsidR="006B76AF" w:rsidRPr="005011B1" w:rsidRDefault="00D27FDB" w:rsidP="006B76AF">
      <w:pPr>
        <w:widowControl w:val="0"/>
        <w:autoSpaceDE w:val="0"/>
        <w:autoSpaceDN w:val="0"/>
        <w:adjustRightInd w:val="0"/>
        <w:spacing w:line="480" w:lineRule="auto"/>
        <w:ind w:left="640" w:hanging="640"/>
        <w:rPr>
          <w:color w:val="000000"/>
          <w:sz w:val="28"/>
          <w:szCs w:val="28"/>
          <w:lang w:val="en-US"/>
        </w:rPr>
      </w:pPr>
      <w:r w:rsidRPr="005011B1">
        <w:rPr>
          <w:color w:val="000000"/>
          <w:sz w:val="28"/>
          <w:szCs w:val="28"/>
          <w:lang w:val="en-US"/>
        </w:rPr>
        <w:lastRenderedPageBreak/>
        <w:t>REFERENCES</w:t>
      </w:r>
    </w:p>
    <w:p w14:paraId="7F2BAA4F" w14:textId="77777777" w:rsidR="00347663" w:rsidRPr="00B81699" w:rsidRDefault="00347663" w:rsidP="00347663">
      <w:pPr>
        <w:widowControl w:val="0"/>
        <w:autoSpaceDE w:val="0"/>
        <w:autoSpaceDN w:val="0"/>
        <w:adjustRightInd w:val="0"/>
        <w:spacing w:line="480" w:lineRule="auto"/>
        <w:ind w:left="640" w:hanging="640"/>
        <w:rPr>
          <w:rFonts w:cs="Calibri"/>
          <w:noProof/>
          <w:lang w:val="en-US"/>
        </w:rPr>
      </w:pPr>
      <w:r w:rsidRPr="00B81699">
        <w:rPr>
          <w:rFonts w:cs="Calibri"/>
          <w:noProof/>
          <w:lang w:val="en-US"/>
        </w:rPr>
        <w:t xml:space="preserve">1. </w:t>
      </w:r>
      <w:r w:rsidRPr="00B81699">
        <w:rPr>
          <w:rFonts w:cs="Calibri"/>
          <w:noProof/>
          <w:lang w:val="en-US"/>
        </w:rPr>
        <w:tab/>
        <w:t xml:space="preserve">Al-Khatib SM, Stevenson WG, Ackerman MJ, Bryant WJ, Callans DJ, Curtis AB, Deal BJ, Dickfeld T, Field ME, Fonarow GC, Gillis AM, Granger CB, Hammill SC, Hlatky MA, Joglar JA, Kay GN, Matlock DD, Myerburg RJ, Page RL. </w:t>
      </w:r>
      <w:r w:rsidR="006B5C74" w:rsidRPr="006B5C74">
        <w:rPr>
          <w:rFonts w:cs="Calibri"/>
          <w:noProof/>
          <w:lang w:val="en-US"/>
        </w:rPr>
        <w:t>2017 AHA/ACC/HRS Guideline for Management of Patients With Ventricular Arrhythmias and the Prevention of Sudden Cardiac Death: A Report of the American College of Cardiology/American Heart Association Task Force on Clinical Practice Guidelines and the Heart Rhythm Society.</w:t>
      </w:r>
      <w:r w:rsidRPr="00B81699">
        <w:rPr>
          <w:rFonts w:cs="Calibri"/>
          <w:noProof/>
          <w:lang w:val="en-US"/>
        </w:rPr>
        <w:t xml:space="preserve"> </w:t>
      </w:r>
      <w:r w:rsidRPr="00B81699">
        <w:rPr>
          <w:rFonts w:cs="Calibri"/>
          <w:i/>
          <w:iCs/>
          <w:noProof/>
          <w:lang w:val="en-US"/>
        </w:rPr>
        <w:t>J Am Coll Cardiol</w:t>
      </w:r>
      <w:r w:rsidRPr="00B81699">
        <w:rPr>
          <w:rFonts w:cs="Calibri"/>
          <w:noProof/>
          <w:lang w:val="en-US"/>
        </w:rPr>
        <w:t xml:space="preserve">. 2018;72:e91–e220. </w:t>
      </w:r>
    </w:p>
    <w:p w14:paraId="49318D70" w14:textId="77777777" w:rsidR="006B5C74" w:rsidRDefault="00347663" w:rsidP="00347663">
      <w:pPr>
        <w:widowControl w:val="0"/>
        <w:autoSpaceDE w:val="0"/>
        <w:autoSpaceDN w:val="0"/>
        <w:adjustRightInd w:val="0"/>
        <w:spacing w:line="480" w:lineRule="auto"/>
        <w:ind w:left="640" w:hanging="640"/>
        <w:rPr>
          <w:rFonts w:cs="Calibri"/>
          <w:noProof/>
          <w:lang w:val="en-US"/>
        </w:rPr>
      </w:pPr>
      <w:r w:rsidRPr="00B81699">
        <w:rPr>
          <w:rFonts w:cs="Calibri"/>
          <w:noProof/>
          <w:lang w:val="en-US"/>
        </w:rPr>
        <w:t xml:space="preserve">2. </w:t>
      </w:r>
      <w:r w:rsidRPr="00B81699">
        <w:rPr>
          <w:rFonts w:cs="Calibri"/>
          <w:noProof/>
          <w:lang w:val="en-US"/>
        </w:rPr>
        <w:tab/>
        <w:t xml:space="preserve">Priori SG, Blomström-Lundqvist C, Mazzanti A, Blom N, Borggrefe M, Camm J, Elliott PM, Fitzsimons D, Hatala R, Hindricks G, Kirchhof P, Kjeldsen K, Kuck K-H, Hernandez-Madrid A, Nikolaou N, Norekvål TM, Spaulding C, Van Veldhuisen DJ, ESC Scientific Document Group. </w:t>
      </w:r>
      <w:r w:rsidR="006B5C74" w:rsidRPr="006B5C74">
        <w:rPr>
          <w:rFonts w:cs="Calibri"/>
          <w:noProof/>
          <w:lang w:val="en-US"/>
        </w:rPr>
        <w:t>2015 ESC Guidelines for the management of patients with ventricular arrhythmias and the prevention of sudden cardiac death: The Task Force for the Management of Patients with Ventricular Arrhythmias and the Prevention of Sudden Cardiac Death of the European Society of Cardiology (ESC). Endorsed by: Association for European Paediatric and Congenital Cardiology (AEPC).</w:t>
      </w:r>
      <w:r w:rsidRPr="00B81699">
        <w:rPr>
          <w:rFonts w:cs="Calibri"/>
          <w:noProof/>
          <w:lang w:val="en-US"/>
        </w:rPr>
        <w:t xml:space="preserve"> </w:t>
      </w:r>
      <w:r w:rsidRPr="00B81699">
        <w:rPr>
          <w:rFonts w:cs="Calibri"/>
          <w:i/>
          <w:iCs/>
          <w:noProof/>
          <w:lang w:val="en-US"/>
        </w:rPr>
        <w:t>Eur Heart J</w:t>
      </w:r>
      <w:r w:rsidRPr="00B81699">
        <w:rPr>
          <w:rFonts w:cs="Calibri"/>
          <w:noProof/>
          <w:lang w:val="en-US"/>
        </w:rPr>
        <w:t xml:space="preserve">. 2015;36:2793–2867. </w:t>
      </w:r>
    </w:p>
    <w:p w14:paraId="0D0BDB88" w14:textId="77777777" w:rsidR="00347663" w:rsidRPr="00B81699" w:rsidRDefault="00347663" w:rsidP="00347663">
      <w:pPr>
        <w:widowControl w:val="0"/>
        <w:autoSpaceDE w:val="0"/>
        <w:autoSpaceDN w:val="0"/>
        <w:adjustRightInd w:val="0"/>
        <w:spacing w:line="480" w:lineRule="auto"/>
        <w:ind w:left="640" w:hanging="640"/>
        <w:rPr>
          <w:rFonts w:cs="Calibri"/>
          <w:noProof/>
          <w:lang w:val="en-US"/>
        </w:rPr>
      </w:pPr>
      <w:r w:rsidRPr="00B81699">
        <w:rPr>
          <w:rFonts w:cs="Calibri"/>
          <w:noProof/>
          <w:lang w:val="en-US"/>
        </w:rPr>
        <w:t xml:space="preserve">3. </w:t>
      </w:r>
      <w:r w:rsidRPr="00B81699">
        <w:rPr>
          <w:rFonts w:cs="Calibri"/>
          <w:noProof/>
          <w:lang w:val="en-US"/>
        </w:rPr>
        <w:tab/>
        <w:t xml:space="preserve">Al-Khatib SM, Hellkamp A, Bardy GH, Hammill S, Hall WJ, Mark DB, Anstrom KJ, Curtis J, Al-Khalidi H, Curtis LH, Heidenreich P, Peterson ED, Sanders G, Clapp-Channing N, Lee KL, Moss AJ. Survival of Patients Receiving a Primary Prevention Implantable Cardioverter-Defibrillator in Clinical Practice vs Clinical Trials. </w:t>
      </w:r>
      <w:r w:rsidRPr="00B81699">
        <w:rPr>
          <w:rFonts w:cs="Calibri"/>
          <w:i/>
          <w:iCs/>
          <w:noProof/>
          <w:lang w:val="en-US"/>
        </w:rPr>
        <w:t>JAMA</w:t>
      </w:r>
      <w:r w:rsidRPr="00B81699">
        <w:rPr>
          <w:rFonts w:cs="Calibri"/>
          <w:noProof/>
          <w:lang w:val="en-US"/>
        </w:rPr>
        <w:t xml:space="preserve">. 2013;309:55. </w:t>
      </w:r>
    </w:p>
    <w:p w14:paraId="1AF19BB8" w14:textId="77777777" w:rsidR="00347663" w:rsidRPr="00B81699" w:rsidRDefault="00347663" w:rsidP="00347663">
      <w:pPr>
        <w:widowControl w:val="0"/>
        <w:autoSpaceDE w:val="0"/>
        <w:autoSpaceDN w:val="0"/>
        <w:adjustRightInd w:val="0"/>
        <w:spacing w:line="480" w:lineRule="auto"/>
        <w:ind w:left="640" w:hanging="640"/>
        <w:rPr>
          <w:rFonts w:cs="Calibri"/>
          <w:noProof/>
          <w:lang w:val="en-US"/>
        </w:rPr>
      </w:pPr>
      <w:r w:rsidRPr="00B81699">
        <w:rPr>
          <w:rFonts w:cs="Calibri"/>
          <w:noProof/>
          <w:lang w:val="en-US"/>
        </w:rPr>
        <w:t xml:space="preserve">4. </w:t>
      </w:r>
      <w:r w:rsidRPr="00B81699">
        <w:rPr>
          <w:rFonts w:cs="Calibri"/>
          <w:noProof/>
          <w:lang w:val="en-US"/>
        </w:rPr>
        <w:tab/>
        <w:t xml:space="preserve">Proclemer A, Muser D, Campana A, Zoni-Berisso M, Zecchin M, Locatelli A, Brieda M, Gramegna L, Santarone M, Chiodi L, Mazzone P, Rebellato L, Facchin D. Indication to cardioverter-defibrillator therapy and outcome in real world primary prevention. </w:t>
      </w:r>
      <w:r w:rsidRPr="00B81699">
        <w:rPr>
          <w:rFonts w:cs="Calibri"/>
          <w:noProof/>
          <w:lang w:val="en-US"/>
        </w:rPr>
        <w:lastRenderedPageBreak/>
        <w:t xml:space="preserve">Data from the IRIDE [Italian registry of prophylactic implantation of defibrillators] study. </w:t>
      </w:r>
      <w:r w:rsidRPr="00B81699">
        <w:rPr>
          <w:rFonts w:cs="Calibri"/>
          <w:i/>
          <w:iCs/>
          <w:noProof/>
          <w:lang w:val="en-US"/>
        </w:rPr>
        <w:t>Int J Cardiol</w:t>
      </w:r>
      <w:r w:rsidRPr="00B81699">
        <w:rPr>
          <w:rFonts w:cs="Calibri"/>
          <w:noProof/>
          <w:lang w:val="en-US"/>
        </w:rPr>
        <w:t>. 2013;168:1416–1421.</w:t>
      </w:r>
    </w:p>
    <w:p w14:paraId="41EF94DF" w14:textId="77777777" w:rsidR="00347663" w:rsidRPr="00B81699" w:rsidRDefault="00347663" w:rsidP="00347663">
      <w:pPr>
        <w:widowControl w:val="0"/>
        <w:autoSpaceDE w:val="0"/>
        <w:autoSpaceDN w:val="0"/>
        <w:adjustRightInd w:val="0"/>
        <w:spacing w:line="480" w:lineRule="auto"/>
        <w:ind w:left="640" w:hanging="640"/>
        <w:rPr>
          <w:rFonts w:cs="Calibri"/>
          <w:noProof/>
          <w:lang w:val="en-US"/>
        </w:rPr>
      </w:pPr>
      <w:r w:rsidRPr="00B81699">
        <w:rPr>
          <w:rFonts w:cs="Calibri"/>
          <w:noProof/>
          <w:lang w:val="en-US"/>
        </w:rPr>
        <w:t xml:space="preserve">5. </w:t>
      </w:r>
      <w:r w:rsidRPr="00B81699">
        <w:rPr>
          <w:rFonts w:cs="Calibri"/>
          <w:noProof/>
          <w:lang w:val="en-US"/>
        </w:rPr>
        <w:tab/>
        <w:t xml:space="preserve">Greenberg SM, Epstein AE, Deering T, Goldman DS, Ghidina M, Neason C, Proclemer A. A Comparison of ICD implantations in the United States versus Italy. </w:t>
      </w:r>
      <w:r w:rsidRPr="00B81699">
        <w:rPr>
          <w:rFonts w:cs="Calibri"/>
          <w:i/>
          <w:iCs/>
          <w:noProof/>
          <w:lang w:val="en-US"/>
        </w:rPr>
        <w:t>Pacing Clin Electrophysiol</w:t>
      </w:r>
      <w:r w:rsidRPr="00B81699">
        <w:rPr>
          <w:rFonts w:cs="Calibri"/>
          <w:noProof/>
          <w:lang w:val="en-US"/>
        </w:rPr>
        <w:t xml:space="preserve">. 2007;30 Suppl 1:S143-6. </w:t>
      </w:r>
    </w:p>
    <w:p w14:paraId="1F2EFD3D" w14:textId="77777777" w:rsidR="006B5C74" w:rsidRDefault="00347663" w:rsidP="00347663">
      <w:pPr>
        <w:widowControl w:val="0"/>
        <w:autoSpaceDE w:val="0"/>
        <w:autoSpaceDN w:val="0"/>
        <w:adjustRightInd w:val="0"/>
        <w:spacing w:line="480" w:lineRule="auto"/>
        <w:ind w:left="640" w:hanging="640"/>
        <w:rPr>
          <w:rFonts w:cs="Calibri"/>
          <w:noProof/>
          <w:lang w:val="en-US"/>
        </w:rPr>
      </w:pPr>
      <w:r w:rsidRPr="00B81699">
        <w:rPr>
          <w:rFonts w:cs="Calibri"/>
          <w:noProof/>
          <w:lang w:val="en-US"/>
        </w:rPr>
        <w:t xml:space="preserve">6. </w:t>
      </w:r>
      <w:r w:rsidRPr="00B81699">
        <w:rPr>
          <w:rFonts w:cs="Calibri"/>
          <w:noProof/>
          <w:lang w:val="en-US"/>
        </w:rPr>
        <w:tab/>
        <w:t xml:space="preserve">Hauser RG. The growing mismatch between patient longevity and the service life of implantable cardioverter-defibrillators. </w:t>
      </w:r>
      <w:r w:rsidRPr="00B81699">
        <w:rPr>
          <w:rFonts w:cs="Calibri"/>
          <w:i/>
          <w:iCs/>
          <w:noProof/>
          <w:lang w:val="en-US"/>
        </w:rPr>
        <w:t>J Am Coll Cardiol</w:t>
      </w:r>
      <w:r w:rsidRPr="00B81699">
        <w:rPr>
          <w:rFonts w:cs="Calibri"/>
          <w:noProof/>
          <w:lang w:val="en-US"/>
        </w:rPr>
        <w:t>. 2005;45:2022–5.</w:t>
      </w:r>
    </w:p>
    <w:p w14:paraId="68B5D8E9" w14:textId="77777777" w:rsidR="00347663" w:rsidRPr="00B81699" w:rsidRDefault="006B5C74" w:rsidP="00347663">
      <w:pPr>
        <w:widowControl w:val="0"/>
        <w:autoSpaceDE w:val="0"/>
        <w:autoSpaceDN w:val="0"/>
        <w:adjustRightInd w:val="0"/>
        <w:spacing w:line="480" w:lineRule="auto"/>
        <w:ind w:left="640" w:hanging="640"/>
        <w:rPr>
          <w:rFonts w:cs="Calibri"/>
          <w:noProof/>
          <w:lang w:val="en-US"/>
        </w:rPr>
      </w:pPr>
      <w:r w:rsidRPr="00B81699">
        <w:rPr>
          <w:rFonts w:cs="Calibri"/>
          <w:noProof/>
          <w:lang w:val="en-US"/>
        </w:rPr>
        <w:t xml:space="preserve"> </w:t>
      </w:r>
      <w:r w:rsidR="00347663" w:rsidRPr="00B81699">
        <w:rPr>
          <w:rFonts w:cs="Calibri"/>
          <w:noProof/>
          <w:lang w:val="en-US"/>
        </w:rPr>
        <w:t xml:space="preserve">7. </w:t>
      </w:r>
      <w:r w:rsidR="00347663" w:rsidRPr="00B81699">
        <w:rPr>
          <w:rFonts w:cs="Calibri"/>
          <w:noProof/>
          <w:lang w:val="en-US"/>
        </w:rPr>
        <w:tab/>
        <w:t xml:space="preserve">Landolina M, Curnis A, Morani G, Vado A, Ammendola E, D’onofrio A, Stabile G, Crosato M, Petracci B, Ceriotti C, Bontempi L, Morosato M, Ballari GP, Gasparini M. Longevity of implantable cardioverter-defibrillators for cardiac resynchronization therapy in current clinical practice: an analysis according to influencing factors, device generation, and manufacturer. </w:t>
      </w:r>
      <w:r w:rsidR="00347663" w:rsidRPr="00B81699">
        <w:rPr>
          <w:rFonts w:cs="Calibri"/>
          <w:i/>
          <w:iCs/>
          <w:noProof/>
          <w:lang w:val="en-US"/>
        </w:rPr>
        <w:t>Europace</w:t>
      </w:r>
      <w:r w:rsidR="00347663" w:rsidRPr="00B81699">
        <w:rPr>
          <w:rFonts w:cs="Calibri"/>
          <w:noProof/>
          <w:lang w:val="en-US"/>
        </w:rPr>
        <w:t>. 2015;17:1251–1258.</w:t>
      </w:r>
    </w:p>
    <w:p w14:paraId="234F54FD" w14:textId="77777777" w:rsidR="006638EF" w:rsidRDefault="00347663" w:rsidP="00347663">
      <w:pPr>
        <w:widowControl w:val="0"/>
        <w:autoSpaceDE w:val="0"/>
        <w:autoSpaceDN w:val="0"/>
        <w:adjustRightInd w:val="0"/>
        <w:spacing w:line="480" w:lineRule="auto"/>
        <w:ind w:left="640" w:hanging="640"/>
        <w:rPr>
          <w:rFonts w:cs="Calibri"/>
          <w:noProof/>
          <w:lang w:val="en-US"/>
        </w:rPr>
      </w:pPr>
      <w:r w:rsidRPr="00B81699">
        <w:rPr>
          <w:rFonts w:cs="Calibri"/>
          <w:noProof/>
          <w:lang w:val="en-US"/>
        </w:rPr>
        <w:t xml:space="preserve">8. </w:t>
      </w:r>
      <w:r w:rsidRPr="00B81699">
        <w:rPr>
          <w:rFonts w:cs="Calibri"/>
          <w:noProof/>
          <w:lang w:val="en-US"/>
        </w:rPr>
        <w:tab/>
        <w:t xml:space="preserve">Manolis AS, Maounis T, Koulouris S, Vassilikos V. “Real life” longevity of implantable cardioverter-defibrillator devices. </w:t>
      </w:r>
      <w:r w:rsidRPr="00B81699">
        <w:rPr>
          <w:rFonts w:cs="Calibri"/>
          <w:i/>
          <w:iCs/>
          <w:noProof/>
          <w:lang w:val="en-US"/>
        </w:rPr>
        <w:t>Clin Cardiol</w:t>
      </w:r>
      <w:r w:rsidRPr="00B81699">
        <w:rPr>
          <w:rFonts w:cs="Calibri"/>
          <w:noProof/>
          <w:lang w:val="en-US"/>
        </w:rPr>
        <w:t>. 2017;40:759–764.</w:t>
      </w:r>
    </w:p>
    <w:p w14:paraId="357C286E" w14:textId="77777777" w:rsidR="00347663" w:rsidRPr="00B81699" w:rsidRDefault="006638EF" w:rsidP="00347663">
      <w:pPr>
        <w:widowControl w:val="0"/>
        <w:autoSpaceDE w:val="0"/>
        <w:autoSpaceDN w:val="0"/>
        <w:adjustRightInd w:val="0"/>
        <w:spacing w:line="480" w:lineRule="auto"/>
        <w:ind w:left="640" w:hanging="640"/>
        <w:rPr>
          <w:rFonts w:cs="Calibri"/>
          <w:noProof/>
          <w:lang w:val="en-US"/>
        </w:rPr>
      </w:pPr>
      <w:r w:rsidRPr="00B81699">
        <w:rPr>
          <w:rFonts w:cs="Calibri"/>
          <w:noProof/>
          <w:lang w:val="en-US"/>
        </w:rPr>
        <w:t xml:space="preserve"> </w:t>
      </w:r>
      <w:r w:rsidR="00347663" w:rsidRPr="00B81699">
        <w:rPr>
          <w:rFonts w:cs="Calibri"/>
          <w:noProof/>
          <w:lang w:val="en-US"/>
        </w:rPr>
        <w:t xml:space="preserve">9. </w:t>
      </w:r>
      <w:r w:rsidR="00347663" w:rsidRPr="00B81699">
        <w:rPr>
          <w:rFonts w:cs="Calibri"/>
          <w:noProof/>
          <w:lang w:val="en-US"/>
        </w:rPr>
        <w:tab/>
        <w:t xml:space="preserve">von Gunten S, Schaer BA, Yap S-C, Szili-Torok T, Kühne M, Sticherling C, Osswald S, Theuns DAMJ. Longevity of implantable cardioverter defibrillators: a comparison among manufacturers and over time. </w:t>
      </w:r>
      <w:r w:rsidR="00347663" w:rsidRPr="00B81699">
        <w:rPr>
          <w:rFonts w:cs="Calibri"/>
          <w:i/>
          <w:iCs/>
          <w:noProof/>
          <w:lang w:val="en-US"/>
        </w:rPr>
        <w:t>Europace</w:t>
      </w:r>
      <w:r w:rsidR="00347663" w:rsidRPr="00B81699">
        <w:rPr>
          <w:rFonts w:cs="Calibri"/>
          <w:noProof/>
          <w:lang w:val="en-US"/>
        </w:rPr>
        <w:t xml:space="preserve">. 2016;18:710–717. </w:t>
      </w:r>
    </w:p>
    <w:p w14:paraId="7727D87A" w14:textId="77777777" w:rsidR="006638EF" w:rsidRDefault="00347663" w:rsidP="00347663">
      <w:pPr>
        <w:widowControl w:val="0"/>
        <w:autoSpaceDE w:val="0"/>
        <w:autoSpaceDN w:val="0"/>
        <w:adjustRightInd w:val="0"/>
        <w:spacing w:line="480" w:lineRule="auto"/>
        <w:ind w:left="640" w:hanging="640"/>
        <w:rPr>
          <w:rFonts w:cs="Calibri"/>
          <w:noProof/>
          <w:lang w:val="en-US"/>
        </w:rPr>
      </w:pPr>
      <w:r w:rsidRPr="00B81699">
        <w:rPr>
          <w:rFonts w:cs="Calibri"/>
          <w:noProof/>
          <w:lang w:val="en-US"/>
        </w:rPr>
        <w:t xml:space="preserve">10. </w:t>
      </w:r>
      <w:r w:rsidRPr="00B81699">
        <w:rPr>
          <w:rFonts w:cs="Calibri"/>
          <w:noProof/>
          <w:lang w:val="en-US"/>
        </w:rPr>
        <w:tab/>
        <w:t xml:space="preserve">Seegers J, Expósito PM, Lüthje L, Fischer T, Lueken M, Wenk H, Sossalla ST, Hasenfuss G, Zabel M. Longevity of implantable cardioverter-defibrillators in a single-center population. </w:t>
      </w:r>
      <w:r w:rsidRPr="00B81699">
        <w:rPr>
          <w:rFonts w:cs="Calibri"/>
          <w:i/>
          <w:iCs/>
          <w:noProof/>
          <w:lang w:val="en-US"/>
        </w:rPr>
        <w:t>J Interv Card Electrophysiol</w:t>
      </w:r>
      <w:r w:rsidRPr="00B81699">
        <w:rPr>
          <w:rFonts w:cs="Calibri"/>
          <w:noProof/>
          <w:lang w:val="en-US"/>
        </w:rPr>
        <w:t xml:space="preserve">. 2015;44:179–86. </w:t>
      </w:r>
    </w:p>
    <w:p w14:paraId="4EA8BC53" w14:textId="77777777" w:rsidR="00347663" w:rsidRPr="00B81699" w:rsidRDefault="00347663" w:rsidP="00347663">
      <w:pPr>
        <w:widowControl w:val="0"/>
        <w:autoSpaceDE w:val="0"/>
        <w:autoSpaceDN w:val="0"/>
        <w:adjustRightInd w:val="0"/>
        <w:spacing w:line="480" w:lineRule="auto"/>
        <w:ind w:left="640" w:hanging="640"/>
        <w:rPr>
          <w:rFonts w:cs="Calibri"/>
          <w:noProof/>
          <w:lang w:val="en-US"/>
        </w:rPr>
      </w:pPr>
      <w:r w:rsidRPr="00B81699">
        <w:rPr>
          <w:rFonts w:cs="Calibri"/>
          <w:noProof/>
          <w:lang w:val="en-US"/>
        </w:rPr>
        <w:t xml:space="preserve">11. </w:t>
      </w:r>
      <w:r w:rsidRPr="00B81699">
        <w:rPr>
          <w:rFonts w:cs="Calibri"/>
          <w:noProof/>
          <w:lang w:val="en-US"/>
        </w:rPr>
        <w:tab/>
        <w:t xml:space="preserve">Shafat T, Baumfeld Y, Novack V, Konstantino Y, Amit G. Significant differences in the expected versus observed longevity of implantable cardioverter defibrillators (ICDs). </w:t>
      </w:r>
      <w:r w:rsidRPr="00B81699">
        <w:rPr>
          <w:rFonts w:cs="Calibri"/>
          <w:i/>
          <w:iCs/>
          <w:noProof/>
          <w:lang w:val="en-US"/>
        </w:rPr>
        <w:t>Clin Res Cardiol</w:t>
      </w:r>
      <w:r w:rsidRPr="00B81699">
        <w:rPr>
          <w:rFonts w:cs="Calibri"/>
          <w:noProof/>
          <w:lang w:val="en-US"/>
        </w:rPr>
        <w:t xml:space="preserve">. 2013;102:43–9. </w:t>
      </w:r>
    </w:p>
    <w:p w14:paraId="3A4DADAB" w14:textId="77777777" w:rsidR="00347663" w:rsidRPr="00B81699" w:rsidRDefault="00347663" w:rsidP="00347663">
      <w:pPr>
        <w:widowControl w:val="0"/>
        <w:autoSpaceDE w:val="0"/>
        <w:autoSpaceDN w:val="0"/>
        <w:adjustRightInd w:val="0"/>
        <w:spacing w:line="480" w:lineRule="auto"/>
        <w:ind w:left="640" w:hanging="640"/>
        <w:rPr>
          <w:rFonts w:cs="Calibri"/>
          <w:noProof/>
          <w:lang w:val="en-US"/>
        </w:rPr>
      </w:pPr>
      <w:r w:rsidRPr="00B81699">
        <w:rPr>
          <w:rFonts w:cs="Calibri"/>
          <w:noProof/>
          <w:lang w:val="en-US"/>
        </w:rPr>
        <w:t xml:space="preserve">12. </w:t>
      </w:r>
      <w:r w:rsidRPr="00B81699">
        <w:rPr>
          <w:rFonts w:cs="Calibri"/>
          <w:noProof/>
          <w:lang w:val="en-US"/>
        </w:rPr>
        <w:tab/>
        <w:t>Maisel WH. Pacemaker and ICD generator reliability: meta-analysis of device</w:t>
      </w:r>
      <w:r w:rsidR="006638EF">
        <w:rPr>
          <w:rFonts w:cs="Calibri"/>
          <w:noProof/>
          <w:lang w:val="en-US"/>
        </w:rPr>
        <w:t xml:space="preserve"> </w:t>
      </w:r>
      <w:r w:rsidRPr="00B81699">
        <w:rPr>
          <w:rFonts w:cs="Calibri"/>
          <w:noProof/>
          <w:lang w:val="en-US"/>
        </w:rPr>
        <w:lastRenderedPageBreak/>
        <w:t xml:space="preserve">registries. </w:t>
      </w:r>
      <w:r w:rsidRPr="00B81699">
        <w:rPr>
          <w:rFonts w:cs="Calibri"/>
          <w:i/>
          <w:iCs/>
          <w:noProof/>
          <w:lang w:val="en-US"/>
        </w:rPr>
        <w:t>JAMA</w:t>
      </w:r>
      <w:r w:rsidRPr="00B81699">
        <w:rPr>
          <w:rFonts w:cs="Calibri"/>
          <w:noProof/>
          <w:lang w:val="en-US"/>
        </w:rPr>
        <w:t>. 2006;295:1929–34.</w:t>
      </w:r>
    </w:p>
    <w:p w14:paraId="510C5A14" w14:textId="77777777" w:rsidR="00347663" w:rsidRPr="00200F46" w:rsidRDefault="00347663" w:rsidP="00347663">
      <w:pPr>
        <w:widowControl w:val="0"/>
        <w:autoSpaceDE w:val="0"/>
        <w:autoSpaceDN w:val="0"/>
        <w:adjustRightInd w:val="0"/>
        <w:spacing w:line="480" w:lineRule="auto"/>
        <w:ind w:left="640" w:hanging="640"/>
        <w:rPr>
          <w:rFonts w:cs="Calibri"/>
          <w:noProof/>
          <w:lang w:val="de-DE"/>
        </w:rPr>
      </w:pPr>
      <w:r w:rsidRPr="00B81699">
        <w:rPr>
          <w:rFonts w:cs="Calibri"/>
          <w:noProof/>
          <w:lang w:val="en-US"/>
        </w:rPr>
        <w:t xml:space="preserve">13. </w:t>
      </w:r>
      <w:r w:rsidRPr="00B81699">
        <w:rPr>
          <w:rFonts w:cs="Calibri"/>
          <w:noProof/>
          <w:lang w:val="en-US"/>
        </w:rPr>
        <w:tab/>
        <w:t xml:space="preserve">Landolina M, Morani G, Curnis A, Vado A, D’Onofrio A, Bianchi V, Stabile G, Crosato M, Petracci B, Ceriotti C, Bontempi L, Morosato M, Ballari GP, Gasparini M. The economic impact of battery longevity in implantable cardioverter-defibrillators for cardiac resynchronization therapy: the hospital and healthcare system perspectives. </w:t>
      </w:r>
      <w:r w:rsidR="006638EF" w:rsidRPr="00200F46">
        <w:rPr>
          <w:rFonts w:cs="Calibri"/>
          <w:i/>
          <w:iCs/>
          <w:noProof/>
          <w:lang w:val="de-DE"/>
        </w:rPr>
        <w:t>Europace</w:t>
      </w:r>
      <w:r w:rsidRPr="00200F46">
        <w:rPr>
          <w:rFonts w:cs="Calibri"/>
          <w:noProof/>
          <w:lang w:val="de-DE"/>
        </w:rPr>
        <w:t xml:space="preserve">. 2017;19:1349–1356. </w:t>
      </w:r>
    </w:p>
    <w:p w14:paraId="61E88CC0" w14:textId="77777777" w:rsidR="006638EF" w:rsidRDefault="00347663" w:rsidP="00347663">
      <w:pPr>
        <w:widowControl w:val="0"/>
        <w:autoSpaceDE w:val="0"/>
        <w:autoSpaceDN w:val="0"/>
        <w:adjustRightInd w:val="0"/>
        <w:spacing w:line="480" w:lineRule="auto"/>
        <w:ind w:left="640" w:hanging="640"/>
        <w:rPr>
          <w:rFonts w:cs="Calibri"/>
          <w:noProof/>
          <w:lang w:val="en-US"/>
        </w:rPr>
      </w:pPr>
      <w:r w:rsidRPr="005C6272">
        <w:rPr>
          <w:rFonts w:cs="Calibri"/>
          <w:noProof/>
          <w:lang w:val="de-DE"/>
        </w:rPr>
        <w:t xml:space="preserve">14. </w:t>
      </w:r>
      <w:r w:rsidRPr="005C6272">
        <w:rPr>
          <w:rFonts w:cs="Calibri"/>
          <w:noProof/>
          <w:lang w:val="de-DE"/>
        </w:rPr>
        <w:tab/>
        <w:t xml:space="preserve">Gadler F, Ding Y, Verin N, Bergius M, Miller JD, Lenhart GM, Russell MW. </w:t>
      </w:r>
      <w:r w:rsidRPr="00B81699">
        <w:rPr>
          <w:rFonts w:cs="Calibri"/>
          <w:noProof/>
          <w:lang w:val="en-US"/>
        </w:rPr>
        <w:t xml:space="preserve">Economic impact of longer battery life of cardiac resynchronization therapy defibrillators in Sweden. </w:t>
      </w:r>
      <w:r w:rsidRPr="00B81699">
        <w:rPr>
          <w:rFonts w:cs="Calibri"/>
          <w:i/>
          <w:iCs/>
          <w:noProof/>
          <w:lang w:val="en-US"/>
        </w:rPr>
        <w:t>Clinicoecon Outcomes Res</w:t>
      </w:r>
      <w:r w:rsidRPr="00B81699">
        <w:rPr>
          <w:rFonts w:cs="Calibri"/>
          <w:noProof/>
          <w:lang w:val="en-US"/>
        </w:rPr>
        <w:t xml:space="preserve">. 2016;8:657–666. </w:t>
      </w:r>
    </w:p>
    <w:p w14:paraId="316C99A3" w14:textId="77777777" w:rsidR="00347663" w:rsidRPr="00B81699" w:rsidRDefault="00347663" w:rsidP="00347663">
      <w:pPr>
        <w:widowControl w:val="0"/>
        <w:autoSpaceDE w:val="0"/>
        <w:autoSpaceDN w:val="0"/>
        <w:adjustRightInd w:val="0"/>
        <w:spacing w:line="480" w:lineRule="auto"/>
        <w:ind w:left="640" w:hanging="640"/>
        <w:rPr>
          <w:rFonts w:cs="Calibri"/>
          <w:noProof/>
          <w:lang w:val="en-US"/>
        </w:rPr>
      </w:pPr>
      <w:r w:rsidRPr="00B81699">
        <w:rPr>
          <w:rFonts w:cs="Calibri"/>
          <w:noProof/>
          <w:lang w:val="en-US"/>
        </w:rPr>
        <w:t xml:space="preserve">15. </w:t>
      </w:r>
      <w:r w:rsidRPr="00B81699">
        <w:rPr>
          <w:rFonts w:cs="Calibri"/>
          <w:noProof/>
          <w:lang w:val="en-US"/>
        </w:rPr>
        <w:tab/>
        <w:t xml:space="preserve">Boriani G, Braunschweig F, Deharo JC, Leyva F, Lubiński A, Lazzaro C. Impact of extending device longevity on the long-term costs of implantable cardioverter-defibrillator therapy: a modelling study with a 15-year time horizon. </w:t>
      </w:r>
      <w:r w:rsidR="006638EF">
        <w:rPr>
          <w:rFonts w:cs="Calibri"/>
          <w:i/>
          <w:iCs/>
          <w:noProof/>
          <w:lang w:val="en-US"/>
        </w:rPr>
        <w:t>Europace</w:t>
      </w:r>
      <w:r w:rsidRPr="00B81699">
        <w:rPr>
          <w:rFonts w:cs="Calibri"/>
          <w:noProof/>
          <w:lang w:val="en-US"/>
        </w:rPr>
        <w:t xml:space="preserve">. 2013;15:1453–1462. </w:t>
      </w:r>
    </w:p>
    <w:p w14:paraId="2E4ECDAB" w14:textId="77777777" w:rsidR="00347663" w:rsidRPr="00B81699" w:rsidRDefault="00347663" w:rsidP="00347663">
      <w:pPr>
        <w:widowControl w:val="0"/>
        <w:autoSpaceDE w:val="0"/>
        <w:autoSpaceDN w:val="0"/>
        <w:adjustRightInd w:val="0"/>
        <w:spacing w:line="480" w:lineRule="auto"/>
        <w:ind w:left="640" w:hanging="640"/>
        <w:rPr>
          <w:rFonts w:cs="Calibri"/>
          <w:noProof/>
          <w:lang w:val="en-US"/>
        </w:rPr>
      </w:pPr>
      <w:r w:rsidRPr="00B81699">
        <w:rPr>
          <w:rFonts w:cs="Calibri"/>
          <w:noProof/>
          <w:lang w:val="en-US"/>
        </w:rPr>
        <w:t xml:space="preserve">16. </w:t>
      </w:r>
      <w:r w:rsidRPr="00B81699">
        <w:rPr>
          <w:rFonts w:cs="Calibri"/>
          <w:noProof/>
          <w:lang w:val="en-US"/>
        </w:rPr>
        <w:tab/>
        <w:t xml:space="preserve">Boriani G, Merino J, Wright DJ, Gadler F, Schaer B, Landolina M. Battery longevity of implantable cardioverter-defibrillators and cardiac resynchronization therapy defibrillators: technical, clinical and economic aspects. An expert review paper from EHRA. </w:t>
      </w:r>
      <w:r w:rsidR="006638EF">
        <w:rPr>
          <w:rFonts w:cs="Calibri"/>
          <w:i/>
          <w:iCs/>
          <w:noProof/>
          <w:lang w:val="en-US"/>
        </w:rPr>
        <w:t>Europace</w:t>
      </w:r>
      <w:r w:rsidRPr="00B81699">
        <w:rPr>
          <w:rFonts w:cs="Calibri"/>
          <w:noProof/>
          <w:lang w:val="en-US"/>
        </w:rPr>
        <w:t>. 2018;20:1882–1897.</w:t>
      </w:r>
    </w:p>
    <w:p w14:paraId="2034EF97" w14:textId="77777777" w:rsidR="00347663" w:rsidRPr="00B81699" w:rsidRDefault="00347663" w:rsidP="00347663">
      <w:pPr>
        <w:widowControl w:val="0"/>
        <w:autoSpaceDE w:val="0"/>
        <w:autoSpaceDN w:val="0"/>
        <w:adjustRightInd w:val="0"/>
        <w:spacing w:line="480" w:lineRule="auto"/>
        <w:ind w:left="640" w:hanging="640"/>
        <w:rPr>
          <w:rFonts w:cs="Calibri"/>
          <w:noProof/>
          <w:lang w:val="en-US"/>
        </w:rPr>
      </w:pPr>
      <w:r w:rsidRPr="00B81699">
        <w:rPr>
          <w:rFonts w:cs="Calibri"/>
          <w:noProof/>
          <w:lang w:val="en-US"/>
        </w:rPr>
        <w:t xml:space="preserve">17. </w:t>
      </w:r>
      <w:r w:rsidRPr="00B81699">
        <w:rPr>
          <w:rFonts w:cs="Calibri"/>
          <w:noProof/>
          <w:lang w:val="en-US"/>
        </w:rPr>
        <w:tab/>
        <w:t xml:space="preserve">Proclemer A, Ghidina M, Gregori D, Facchin D, Rebellato L, Fioretti P, Brignole M. Impact of the main implantable cardioverter-defibrillator trials in clinical practice: data from the Italian ICD Registry for the years 2005-07. </w:t>
      </w:r>
      <w:r w:rsidRPr="00B81699">
        <w:rPr>
          <w:rFonts w:cs="Calibri"/>
          <w:i/>
          <w:iCs/>
          <w:noProof/>
          <w:lang w:val="en-US"/>
        </w:rPr>
        <w:t>Europace</w:t>
      </w:r>
      <w:r w:rsidRPr="00B81699">
        <w:rPr>
          <w:rFonts w:cs="Calibri"/>
          <w:noProof/>
          <w:lang w:val="en-US"/>
        </w:rPr>
        <w:t xml:space="preserve">. 2009;11:465–75. </w:t>
      </w:r>
    </w:p>
    <w:p w14:paraId="29D83EDC" w14:textId="77777777" w:rsidR="00347663" w:rsidRPr="00B81699" w:rsidRDefault="00347663" w:rsidP="00347663">
      <w:pPr>
        <w:widowControl w:val="0"/>
        <w:autoSpaceDE w:val="0"/>
        <w:autoSpaceDN w:val="0"/>
        <w:adjustRightInd w:val="0"/>
        <w:spacing w:line="480" w:lineRule="auto"/>
        <w:ind w:left="640" w:hanging="640"/>
        <w:rPr>
          <w:rFonts w:cs="Calibri"/>
          <w:noProof/>
          <w:lang w:val="en-US"/>
        </w:rPr>
      </w:pPr>
      <w:r w:rsidRPr="00B81699">
        <w:rPr>
          <w:rFonts w:cs="Calibri"/>
          <w:noProof/>
          <w:lang w:val="en-US"/>
        </w:rPr>
        <w:t xml:space="preserve">18. </w:t>
      </w:r>
      <w:r w:rsidRPr="00B81699">
        <w:rPr>
          <w:rFonts w:cs="Calibri"/>
          <w:noProof/>
          <w:lang w:val="en-US"/>
        </w:rPr>
        <w:tab/>
        <w:t xml:space="preserve">Proclemer A, Ghidina M, Facchin D, Rebellato L, Corrado D, Gasparini M, Gregori D. Use of implantable cardioverter-defibrillator in inherited arrhythmogenic diseases: data from Italian ICD Registry for the years 2001-6. </w:t>
      </w:r>
      <w:r w:rsidRPr="00B81699">
        <w:rPr>
          <w:rFonts w:cs="Calibri"/>
          <w:i/>
          <w:iCs/>
          <w:noProof/>
          <w:lang w:val="en-US"/>
        </w:rPr>
        <w:t>Pacing Clin Electrophysiol</w:t>
      </w:r>
      <w:r w:rsidRPr="00B81699">
        <w:rPr>
          <w:rFonts w:cs="Calibri"/>
          <w:noProof/>
          <w:lang w:val="en-US"/>
        </w:rPr>
        <w:t>.</w:t>
      </w:r>
      <w:r w:rsidR="006638EF">
        <w:rPr>
          <w:rFonts w:cs="Calibri"/>
          <w:noProof/>
          <w:lang w:val="en-US"/>
        </w:rPr>
        <w:t xml:space="preserve"> </w:t>
      </w:r>
      <w:r w:rsidRPr="00B81699">
        <w:rPr>
          <w:rFonts w:cs="Calibri"/>
          <w:noProof/>
          <w:lang w:val="en-US"/>
        </w:rPr>
        <w:t xml:space="preserve">2009;32:434–45. </w:t>
      </w:r>
    </w:p>
    <w:p w14:paraId="67F050F1" w14:textId="77777777" w:rsidR="00347663" w:rsidRPr="00B81699" w:rsidRDefault="00347663" w:rsidP="00347663">
      <w:pPr>
        <w:widowControl w:val="0"/>
        <w:autoSpaceDE w:val="0"/>
        <w:autoSpaceDN w:val="0"/>
        <w:adjustRightInd w:val="0"/>
        <w:spacing w:line="480" w:lineRule="auto"/>
        <w:ind w:left="640" w:hanging="640"/>
        <w:rPr>
          <w:rFonts w:cs="Calibri"/>
          <w:noProof/>
          <w:lang w:val="en-US"/>
        </w:rPr>
      </w:pPr>
      <w:r w:rsidRPr="00B81699">
        <w:rPr>
          <w:rFonts w:cs="Calibri"/>
          <w:noProof/>
          <w:lang w:val="en-US"/>
        </w:rPr>
        <w:lastRenderedPageBreak/>
        <w:t xml:space="preserve">19. </w:t>
      </w:r>
      <w:r w:rsidRPr="00B81699">
        <w:rPr>
          <w:rFonts w:cs="Calibri"/>
          <w:noProof/>
          <w:lang w:val="en-US"/>
        </w:rPr>
        <w:tab/>
        <w:t xml:space="preserve">Proclemer A, Zecchin M, D’Onofrio A, Boriani G, Botto GL, Facchin D, Rebellato L, Ghidina M, Bianco G, Bernardelli E, Pucher E, Gregori D. [The Pacemaker and Implantable Cardioverter-Defibrillator Registry of the Italian Association of Arrhythmology and Cardiac Pacing - Annual report 2015]. </w:t>
      </w:r>
      <w:r w:rsidRPr="00B81699">
        <w:rPr>
          <w:rFonts w:cs="Calibri"/>
          <w:i/>
          <w:iCs/>
          <w:noProof/>
          <w:lang w:val="en-US"/>
        </w:rPr>
        <w:t>G Ital Cardiol</w:t>
      </w:r>
      <w:r w:rsidRPr="00B81699">
        <w:rPr>
          <w:rFonts w:cs="Calibri"/>
          <w:noProof/>
          <w:lang w:val="en-US"/>
        </w:rPr>
        <w:t>. 2017;18:67–79.</w:t>
      </w:r>
    </w:p>
    <w:p w14:paraId="095E1149" w14:textId="77777777" w:rsidR="00347663" w:rsidRPr="00B81699" w:rsidRDefault="00347663" w:rsidP="00347663">
      <w:pPr>
        <w:widowControl w:val="0"/>
        <w:autoSpaceDE w:val="0"/>
        <w:autoSpaceDN w:val="0"/>
        <w:adjustRightInd w:val="0"/>
        <w:spacing w:line="480" w:lineRule="auto"/>
        <w:ind w:left="640" w:hanging="640"/>
        <w:rPr>
          <w:rFonts w:cs="Calibri"/>
          <w:noProof/>
          <w:lang w:val="en-US"/>
        </w:rPr>
      </w:pPr>
      <w:r w:rsidRPr="00B81699">
        <w:rPr>
          <w:rFonts w:cs="Calibri"/>
          <w:noProof/>
          <w:lang w:val="en-US"/>
        </w:rPr>
        <w:t xml:space="preserve">20. </w:t>
      </w:r>
      <w:r w:rsidRPr="00B81699">
        <w:rPr>
          <w:rFonts w:cs="Calibri"/>
          <w:noProof/>
          <w:lang w:val="en-US"/>
        </w:rPr>
        <w:tab/>
        <w:t>R Core Team. R: A language and environment for statistical computing. R Found. Stat. Comput. Vienna, Austria. 2018</w:t>
      </w:r>
      <w:r w:rsidR="00934FBF">
        <w:rPr>
          <w:rFonts w:cs="Calibri"/>
          <w:noProof/>
          <w:lang w:val="en-US"/>
        </w:rPr>
        <w:t>.</w:t>
      </w:r>
    </w:p>
    <w:p w14:paraId="78C9C7ED" w14:textId="77777777" w:rsidR="00347663" w:rsidRPr="00B81699" w:rsidRDefault="00347663" w:rsidP="00347663">
      <w:pPr>
        <w:widowControl w:val="0"/>
        <w:autoSpaceDE w:val="0"/>
        <w:autoSpaceDN w:val="0"/>
        <w:adjustRightInd w:val="0"/>
        <w:spacing w:line="480" w:lineRule="auto"/>
        <w:ind w:left="640" w:hanging="640"/>
        <w:rPr>
          <w:rFonts w:cs="Calibri"/>
          <w:noProof/>
          <w:lang w:val="en-US"/>
        </w:rPr>
      </w:pPr>
      <w:r w:rsidRPr="00B81699">
        <w:rPr>
          <w:rFonts w:cs="Calibri"/>
          <w:noProof/>
          <w:lang w:val="en-US"/>
        </w:rPr>
        <w:t xml:space="preserve">21. </w:t>
      </w:r>
      <w:r w:rsidRPr="00B81699">
        <w:rPr>
          <w:rFonts w:cs="Calibri"/>
          <w:noProof/>
          <w:lang w:val="en-US"/>
        </w:rPr>
        <w:tab/>
        <w:t xml:space="preserve">Harrell FE. rms: Regression Modeling Strategies. </w:t>
      </w:r>
      <w:r w:rsidR="00E221B8" w:rsidRPr="00E221B8">
        <w:rPr>
          <w:rFonts w:cs="Calibri"/>
          <w:noProof/>
          <w:lang w:val="en-US"/>
        </w:rPr>
        <w:t>﻿R package version 5.1-2</w:t>
      </w:r>
      <w:r w:rsidR="00E221B8">
        <w:rPr>
          <w:rFonts w:cs="Calibri"/>
          <w:noProof/>
          <w:lang w:val="en-US"/>
        </w:rPr>
        <w:t xml:space="preserve">. </w:t>
      </w:r>
      <w:r w:rsidRPr="00B81699">
        <w:rPr>
          <w:rFonts w:cs="Calibri"/>
          <w:noProof/>
          <w:lang w:val="en-US"/>
        </w:rPr>
        <w:t>2018</w:t>
      </w:r>
      <w:r w:rsidR="00E221B8">
        <w:rPr>
          <w:rFonts w:cs="Calibri"/>
          <w:noProof/>
          <w:lang w:val="en-US"/>
        </w:rPr>
        <w:t>.</w:t>
      </w:r>
    </w:p>
    <w:p w14:paraId="7007C7F4" w14:textId="77777777" w:rsidR="00347663" w:rsidRPr="00B81699" w:rsidRDefault="00347663" w:rsidP="00347663">
      <w:pPr>
        <w:widowControl w:val="0"/>
        <w:autoSpaceDE w:val="0"/>
        <w:autoSpaceDN w:val="0"/>
        <w:adjustRightInd w:val="0"/>
        <w:spacing w:line="480" w:lineRule="auto"/>
        <w:ind w:left="640" w:hanging="640"/>
        <w:rPr>
          <w:rFonts w:cs="Calibri"/>
          <w:noProof/>
          <w:lang w:val="en-US"/>
        </w:rPr>
      </w:pPr>
      <w:r w:rsidRPr="00B81699">
        <w:rPr>
          <w:rFonts w:cs="Calibri"/>
          <w:noProof/>
          <w:lang w:val="en-US"/>
        </w:rPr>
        <w:t xml:space="preserve">22. </w:t>
      </w:r>
      <w:r w:rsidRPr="00B81699">
        <w:rPr>
          <w:rFonts w:cs="Calibri"/>
          <w:noProof/>
          <w:lang w:val="en-US"/>
        </w:rPr>
        <w:tab/>
        <w:t xml:space="preserve">Poole JE, Gleva MJ, Mela T, Chung MK, Uslan DZ, Borge R, Gottipaty V, Shinn T, Dan D, Feldman LA, Seide H, Winston SA, Gallagher JJ, Langberg JJ, Mitchell K, Holcomb R. Complication Rates Associated With Pacemaker or Implantable Cardioverter-Defibrillator Generator Replacements and Upgrade Procedures. </w:t>
      </w:r>
      <w:r w:rsidRPr="00B81699">
        <w:rPr>
          <w:rFonts w:cs="Calibri"/>
          <w:i/>
          <w:iCs/>
          <w:noProof/>
          <w:lang w:val="en-US"/>
        </w:rPr>
        <w:t>Circulation</w:t>
      </w:r>
      <w:r w:rsidRPr="00B81699">
        <w:rPr>
          <w:rFonts w:cs="Calibri"/>
          <w:noProof/>
          <w:lang w:val="en-US"/>
        </w:rPr>
        <w:t xml:space="preserve">. 2010;122:1553–1561. </w:t>
      </w:r>
    </w:p>
    <w:p w14:paraId="758EDB64" w14:textId="77777777" w:rsidR="00347663" w:rsidRPr="00B81699" w:rsidRDefault="00347663" w:rsidP="00347663">
      <w:pPr>
        <w:widowControl w:val="0"/>
        <w:autoSpaceDE w:val="0"/>
        <w:autoSpaceDN w:val="0"/>
        <w:adjustRightInd w:val="0"/>
        <w:spacing w:line="480" w:lineRule="auto"/>
        <w:ind w:left="640" w:hanging="640"/>
        <w:rPr>
          <w:rFonts w:cs="Calibri"/>
          <w:noProof/>
          <w:lang w:val="en-US"/>
        </w:rPr>
      </w:pPr>
      <w:r w:rsidRPr="00B81699">
        <w:rPr>
          <w:rFonts w:cs="Calibri"/>
          <w:noProof/>
          <w:lang w:val="en-US"/>
        </w:rPr>
        <w:t xml:space="preserve">23. </w:t>
      </w:r>
      <w:r w:rsidRPr="00B81699">
        <w:rPr>
          <w:rFonts w:cs="Calibri"/>
          <w:noProof/>
          <w:lang w:val="en-US"/>
        </w:rPr>
        <w:tab/>
        <w:t xml:space="preserve">Ricci R Pietro, Morichelli L, Varma N. Remote Monitoring for Follow-up of Patients with Cardiac Implantable Electronic Devices. </w:t>
      </w:r>
      <w:r w:rsidRPr="00B81699">
        <w:rPr>
          <w:rFonts w:cs="Calibri"/>
          <w:i/>
          <w:iCs/>
          <w:noProof/>
          <w:lang w:val="en-US"/>
        </w:rPr>
        <w:t>Arrhythmia Electrophysiol Rev</w:t>
      </w:r>
      <w:r w:rsidRPr="00B81699">
        <w:rPr>
          <w:rFonts w:cs="Calibri"/>
          <w:noProof/>
          <w:lang w:val="en-US"/>
        </w:rPr>
        <w:t>.</w:t>
      </w:r>
      <w:r w:rsidR="00E221B8">
        <w:rPr>
          <w:rFonts w:cs="Calibri"/>
          <w:noProof/>
          <w:lang w:val="en-US"/>
        </w:rPr>
        <w:t xml:space="preserve"> </w:t>
      </w:r>
      <w:r w:rsidRPr="00B81699">
        <w:rPr>
          <w:rFonts w:cs="Calibri"/>
          <w:noProof/>
          <w:lang w:val="en-US"/>
        </w:rPr>
        <w:t xml:space="preserve">2014;3:123. </w:t>
      </w:r>
    </w:p>
    <w:p w14:paraId="04837FFF" w14:textId="77777777" w:rsidR="00347663" w:rsidRPr="00B81699" w:rsidRDefault="00347663" w:rsidP="00347663">
      <w:pPr>
        <w:widowControl w:val="0"/>
        <w:autoSpaceDE w:val="0"/>
        <w:autoSpaceDN w:val="0"/>
        <w:adjustRightInd w:val="0"/>
        <w:spacing w:line="480" w:lineRule="auto"/>
        <w:ind w:left="640" w:hanging="640"/>
        <w:rPr>
          <w:rFonts w:cs="Calibri"/>
          <w:noProof/>
          <w:lang w:val="en-US"/>
        </w:rPr>
      </w:pPr>
      <w:r w:rsidRPr="00200F46">
        <w:rPr>
          <w:rFonts w:cs="Calibri"/>
          <w:noProof/>
          <w:lang w:val="en-US"/>
        </w:rPr>
        <w:t xml:space="preserve">24. </w:t>
      </w:r>
      <w:r w:rsidRPr="00200F46">
        <w:rPr>
          <w:rFonts w:cs="Calibri"/>
          <w:noProof/>
          <w:lang w:val="en-US"/>
        </w:rPr>
        <w:tab/>
      </w:r>
      <w:r w:rsidRPr="00F243AB">
        <w:rPr>
          <w:rFonts w:cs="Calibri"/>
          <w:noProof/>
        </w:rPr>
        <w:t xml:space="preserve">Varma N, Ricci R Pietro. </w:t>
      </w:r>
      <w:r w:rsidRPr="00B81699">
        <w:rPr>
          <w:rFonts w:cs="Calibri"/>
          <w:noProof/>
          <w:lang w:val="en-US"/>
        </w:rPr>
        <w:t xml:space="preserve">Telemedicine and cardiac implants: what is the benefit? </w:t>
      </w:r>
      <w:r w:rsidRPr="00B81699">
        <w:rPr>
          <w:rFonts w:cs="Calibri"/>
          <w:i/>
          <w:iCs/>
          <w:noProof/>
          <w:lang w:val="en-US"/>
        </w:rPr>
        <w:t>Eur Heart J</w:t>
      </w:r>
      <w:r w:rsidRPr="00B81699">
        <w:rPr>
          <w:rFonts w:cs="Calibri"/>
          <w:noProof/>
          <w:lang w:val="en-US"/>
        </w:rPr>
        <w:t xml:space="preserve">. 2013;34:1885–95. </w:t>
      </w:r>
    </w:p>
    <w:p w14:paraId="43D20612" w14:textId="77777777" w:rsidR="00347663" w:rsidRPr="00200F46" w:rsidRDefault="00347663" w:rsidP="00347663">
      <w:pPr>
        <w:widowControl w:val="0"/>
        <w:autoSpaceDE w:val="0"/>
        <w:autoSpaceDN w:val="0"/>
        <w:adjustRightInd w:val="0"/>
        <w:spacing w:line="480" w:lineRule="auto"/>
        <w:ind w:left="640" w:hanging="640"/>
        <w:rPr>
          <w:rFonts w:cs="Calibri"/>
          <w:noProof/>
          <w:lang w:val="de-DE"/>
        </w:rPr>
      </w:pPr>
      <w:r w:rsidRPr="00B81699">
        <w:rPr>
          <w:rFonts w:cs="Calibri"/>
          <w:noProof/>
          <w:lang w:val="en-US"/>
        </w:rPr>
        <w:t xml:space="preserve">25. </w:t>
      </w:r>
      <w:r w:rsidRPr="00B81699">
        <w:rPr>
          <w:rFonts w:cs="Calibri"/>
          <w:noProof/>
          <w:lang w:val="en-US"/>
        </w:rPr>
        <w:tab/>
        <w:t xml:space="preserve">Varma N, Love CJ, Schweikert R, Moll P, Michalski J, Epstein AE, TRUST Investigators. Automatic remote monitoring utilizing daily transmissions: transmission reliability and implantable cardioverter defibrillator battery longevity in the TRUST trial. </w:t>
      </w:r>
      <w:r w:rsidRPr="00200F46">
        <w:rPr>
          <w:rFonts w:cs="Calibri"/>
          <w:i/>
          <w:iCs/>
          <w:noProof/>
          <w:lang w:val="de-DE"/>
        </w:rPr>
        <w:t>Europace</w:t>
      </w:r>
      <w:r w:rsidRPr="00200F46">
        <w:rPr>
          <w:rFonts w:cs="Calibri"/>
          <w:noProof/>
          <w:lang w:val="de-DE"/>
        </w:rPr>
        <w:t>. 2018;20:622–628.</w:t>
      </w:r>
    </w:p>
    <w:p w14:paraId="6B3FAF5C" w14:textId="77777777" w:rsidR="00347663" w:rsidRPr="00B81699" w:rsidRDefault="00347663" w:rsidP="00347663">
      <w:pPr>
        <w:widowControl w:val="0"/>
        <w:autoSpaceDE w:val="0"/>
        <w:autoSpaceDN w:val="0"/>
        <w:adjustRightInd w:val="0"/>
        <w:spacing w:line="480" w:lineRule="auto"/>
        <w:ind w:left="640" w:hanging="640"/>
        <w:rPr>
          <w:rFonts w:cs="Calibri"/>
          <w:noProof/>
          <w:lang w:val="en-US"/>
        </w:rPr>
      </w:pPr>
      <w:r w:rsidRPr="005C6272">
        <w:rPr>
          <w:rFonts w:cs="Calibri"/>
          <w:noProof/>
          <w:lang w:val="de-DE"/>
        </w:rPr>
        <w:t xml:space="preserve">26. </w:t>
      </w:r>
      <w:r w:rsidRPr="005C6272">
        <w:rPr>
          <w:rFonts w:cs="Calibri"/>
          <w:noProof/>
          <w:lang w:val="de-DE"/>
        </w:rPr>
        <w:tab/>
        <w:t xml:space="preserve">Schmier JK, Lau EC, Patel JD, Klenk JA, Greenspon AJ. </w:t>
      </w:r>
      <w:r w:rsidRPr="00B81699">
        <w:rPr>
          <w:rFonts w:cs="Calibri"/>
          <w:noProof/>
          <w:lang w:val="en-US"/>
        </w:rPr>
        <w:t xml:space="preserve">Effect of battery longevity on costs and health outcomes associated with cardiac implantable electronic devices: a </w:t>
      </w:r>
      <w:r w:rsidRPr="00B81699">
        <w:rPr>
          <w:rFonts w:cs="Calibri"/>
          <w:noProof/>
          <w:lang w:val="en-US"/>
        </w:rPr>
        <w:lastRenderedPageBreak/>
        <w:t xml:space="preserve">Markov model-based Monte Carlo simulation. </w:t>
      </w:r>
      <w:r w:rsidRPr="00B81699">
        <w:rPr>
          <w:rFonts w:cs="Calibri"/>
          <w:i/>
          <w:iCs/>
          <w:noProof/>
          <w:lang w:val="en-US"/>
        </w:rPr>
        <w:t>J Interv Card Electrophysiol</w:t>
      </w:r>
      <w:r w:rsidRPr="00B81699">
        <w:rPr>
          <w:rFonts w:cs="Calibri"/>
          <w:noProof/>
          <w:lang w:val="en-US"/>
        </w:rPr>
        <w:t>. 2017;50:149–158.</w:t>
      </w:r>
    </w:p>
    <w:p w14:paraId="05375FED" w14:textId="77777777" w:rsidR="00967948" w:rsidRDefault="00347663" w:rsidP="00347663">
      <w:pPr>
        <w:widowControl w:val="0"/>
        <w:autoSpaceDE w:val="0"/>
        <w:autoSpaceDN w:val="0"/>
        <w:adjustRightInd w:val="0"/>
        <w:spacing w:line="480" w:lineRule="auto"/>
        <w:ind w:left="640" w:hanging="640"/>
        <w:rPr>
          <w:rFonts w:cs="Calibri"/>
          <w:noProof/>
          <w:lang w:val="en-US"/>
        </w:rPr>
      </w:pPr>
      <w:r w:rsidRPr="00B81699">
        <w:rPr>
          <w:rFonts w:cs="Calibri"/>
          <w:noProof/>
          <w:lang w:val="en-US"/>
        </w:rPr>
        <w:t xml:space="preserve">27. </w:t>
      </w:r>
      <w:r w:rsidRPr="00B81699">
        <w:rPr>
          <w:rFonts w:cs="Calibri"/>
          <w:noProof/>
          <w:lang w:val="en-US"/>
        </w:rPr>
        <w:tab/>
        <w:t xml:space="preserve">Biffi M, Menardi E, Narducci ML, Ammendola E, Messano L, Giofrè F, Baiocchi C, Saporito D, Lissoni F, Bertini M, Pierantozzi A, Zingarini G, Malacrida M, Ziacchi M. Manufacturer change and risk of system-related complications after implantable cardioverter defibrillator replacement. </w:t>
      </w:r>
      <w:r w:rsidRPr="00B81699">
        <w:rPr>
          <w:rFonts w:cs="Calibri"/>
          <w:i/>
          <w:iCs/>
          <w:noProof/>
          <w:lang w:val="en-US"/>
        </w:rPr>
        <w:t>J Cardiovasc Med</w:t>
      </w:r>
      <w:r w:rsidRPr="00B81699">
        <w:rPr>
          <w:rFonts w:cs="Calibri"/>
          <w:noProof/>
          <w:lang w:val="en-US"/>
        </w:rPr>
        <w:t>. 2017;18:968–975.</w:t>
      </w:r>
    </w:p>
    <w:p w14:paraId="3867B22F" w14:textId="77777777" w:rsidR="00967948" w:rsidRDefault="00967948" w:rsidP="00347663">
      <w:pPr>
        <w:widowControl w:val="0"/>
        <w:autoSpaceDE w:val="0"/>
        <w:autoSpaceDN w:val="0"/>
        <w:adjustRightInd w:val="0"/>
        <w:spacing w:line="480" w:lineRule="auto"/>
        <w:ind w:left="640" w:hanging="640"/>
        <w:rPr>
          <w:rFonts w:cs="Calibri"/>
          <w:noProof/>
          <w:lang w:val="en-US"/>
        </w:rPr>
      </w:pPr>
      <w:r w:rsidRPr="00B81699">
        <w:rPr>
          <w:rFonts w:cs="Calibri"/>
          <w:noProof/>
          <w:lang w:val="en-US"/>
        </w:rPr>
        <w:t xml:space="preserve"> </w:t>
      </w:r>
      <w:r w:rsidR="00347663" w:rsidRPr="00B81699">
        <w:rPr>
          <w:rFonts w:cs="Calibri"/>
          <w:noProof/>
          <w:lang w:val="en-US"/>
        </w:rPr>
        <w:t xml:space="preserve">28. </w:t>
      </w:r>
      <w:r w:rsidR="00347663" w:rsidRPr="00B81699">
        <w:rPr>
          <w:rFonts w:cs="Calibri"/>
          <w:noProof/>
          <w:lang w:val="en-US"/>
        </w:rPr>
        <w:tab/>
        <w:t xml:space="preserve">Diemberger I, Biffi M, Martignani C, Boriani G. From lead management to implanted patient management: indications to lead extraction in pacemaker and cardioverter-defibrillator systems. </w:t>
      </w:r>
      <w:r w:rsidR="00347663" w:rsidRPr="00B81699">
        <w:rPr>
          <w:rFonts w:cs="Calibri"/>
          <w:i/>
          <w:iCs/>
          <w:noProof/>
          <w:lang w:val="en-US"/>
        </w:rPr>
        <w:t>Expert Rev Med Devices</w:t>
      </w:r>
      <w:r w:rsidR="00347663" w:rsidRPr="00B81699">
        <w:rPr>
          <w:rFonts w:cs="Calibri"/>
          <w:noProof/>
          <w:lang w:val="en-US"/>
        </w:rPr>
        <w:t>. 2011;8:235–55.</w:t>
      </w:r>
    </w:p>
    <w:p w14:paraId="7D2B798E" w14:textId="77777777" w:rsidR="00347663" w:rsidRPr="00200F46" w:rsidRDefault="00967948" w:rsidP="00347663">
      <w:pPr>
        <w:widowControl w:val="0"/>
        <w:autoSpaceDE w:val="0"/>
        <w:autoSpaceDN w:val="0"/>
        <w:adjustRightInd w:val="0"/>
        <w:spacing w:line="480" w:lineRule="auto"/>
        <w:ind w:left="640" w:hanging="640"/>
        <w:rPr>
          <w:rFonts w:cs="Calibri"/>
          <w:noProof/>
        </w:rPr>
      </w:pPr>
      <w:r w:rsidRPr="00B81699">
        <w:rPr>
          <w:rFonts w:cs="Calibri"/>
          <w:noProof/>
          <w:lang w:val="en-US"/>
        </w:rPr>
        <w:t xml:space="preserve"> </w:t>
      </w:r>
      <w:r w:rsidR="00347663" w:rsidRPr="00B81699">
        <w:rPr>
          <w:rFonts w:cs="Calibri"/>
          <w:noProof/>
          <w:lang w:val="en-US"/>
        </w:rPr>
        <w:t xml:space="preserve">29. </w:t>
      </w:r>
      <w:r w:rsidR="00347663" w:rsidRPr="00B81699">
        <w:rPr>
          <w:rFonts w:cs="Calibri"/>
          <w:noProof/>
          <w:lang w:val="en-US"/>
        </w:rPr>
        <w:tab/>
        <w:t xml:space="preserve">Thijssen J, Borleffs CJW, van Rees JB, Man S, de Bie MK, Venlet J, van der Velde ET, van Erven L, Schalij MJ. Implantable cardioverter-defibrillator longevity under clinical circumstances: An analysis according to device type, generation, and manufacturer. </w:t>
      </w:r>
      <w:r w:rsidR="00347663" w:rsidRPr="00200F46">
        <w:rPr>
          <w:rFonts w:cs="Calibri"/>
          <w:i/>
          <w:iCs/>
          <w:noProof/>
        </w:rPr>
        <w:t>Hear</w:t>
      </w:r>
      <w:r w:rsidRPr="00200F46">
        <w:rPr>
          <w:rFonts w:cs="Calibri"/>
          <w:i/>
          <w:iCs/>
          <w:noProof/>
        </w:rPr>
        <w:t>t</w:t>
      </w:r>
      <w:r w:rsidR="00347663" w:rsidRPr="00200F46">
        <w:rPr>
          <w:rFonts w:cs="Calibri"/>
          <w:i/>
          <w:iCs/>
          <w:noProof/>
        </w:rPr>
        <w:t xml:space="preserve"> Rhythm</w:t>
      </w:r>
      <w:r w:rsidR="00347663" w:rsidRPr="00200F46">
        <w:rPr>
          <w:rFonts w:cs="Calibri"/>
          <w:noProof/>
        </w:rPr>
        <w:t>. 2012;9:513–519.</w:t>
      </w:r>
    </w:p>
    <w:p w14:paraId="07E33D8B" w14:textId="77777777" w:rsidR="00967948" w:rsidRPr="00200F46" w:rsidRDefault="00347663" w:rsidP="00347663">
      <w:pPr>
        <w:widowControl w:val="0"/>
        <w:autoSpaceDE w:val="0"/>
        <w:autoSpaceDN w:val="0"/>
        <w:adjustRightInd w:val="0"/>
        <w:spacing w:line="480" w:lineRule="auto"/>
        <w:ind w:left="640" w:hanging="640"/>
        <w:rPr>
          <w:rFonts w:cs="Calibri"/>
          <w:noProof/>
        </w:rPr>
      </w:pPr>
      <w:r w:rsidRPr="005C6272">
        <w:rPr>
          <w:rFonts w:cs="Calibri"/>
          <w:noProof/>
        </w:rPr>
        <w:t xml:space="preserve">30. </w:t>
      </w:r>
      <w:r w:rsidRPr="005C6272">
        <w:rPr>
          <w:rFonts w:cs="Calibri"/>
          <w:noProof/>
        </w:rPr>
        <w:tab/>
        <w:t xml:space="preserve">Zanon F, Martignani C, Ammendola E, Menardi E, Narducci ML, DE Filippo P, Santamaria M, Campana A, Stabile G, Potenza DR, Pastore G, Iori M, LA Rosa C, Biffi M. Device Longevity in a Contemporary Cohort of ICD/CRT-D Patients Undergoing Device Replacement. </w:t>
      </w:r>
      <w:r w:rsidRPr="00200F46">
        <w:rPr>
          <w:rFonts w:cs="Calibri"/>
          <w:i/>
          <w:iCs/>
          <w:noProof/>
        </w:rPr>
        <w:t>J Cardiovasc Electrophysiol</w:t>
      </w:r>
      <w:r w:rsidRPr="00200F46">
        <w:rPr>
          <w:rFonts w:cs="Calibri"/>
          <w:noProof/>
        </w:rPr>
        <w:t xml:space="preserve">. 2016;27:840–5. </w:t>
      </w:r>
    </w:p>
    <w:p w14:paraId="33BCA1D6" w14:textId="77777777" w:rsidR="00347663" w:rsidRPr="00B81699" w:rsidRDefault="00347663" w:rsidP="00347663">
      <w:pPr>
        <w:widowControl w:val="0"/>
        <w:autoSpaceDE w:val="0"/>
        <w:autoSpaceDN w:val="0"/>
        <w:adjustRightInd w:val="0"/>
        <w:spacing w:line="480" w:lineRule="auto"/>
        <w:ind w:left="640" w:hanging="640"/>
        <w:rPr>
          <w:rFonts w:cs="Calibri"/>
          <w:noProof/>
          <w:lang w:val="en-US"/>
        </w:rPr>
      </w:pPr>
      <w:r w:rsidRPr="00200F46">
        <w:rPr>
          <w:rFonts w:cs="Calibri"/>
          <w:noProof/>
        </w:rPr>
        <w:t xml:space="preserve">31. </w:t>
      </w:r>
      <w:r w:rsidRPr="00200F46">
        <w:rPr>
          <w:rFonts w:cs="Calibri"/>
          <w:noProof/>
        </w:rPr>
        <w:tab/>
        <w:t xml:space="preserve">Munawar DA, Mahajan R, Linz D, Wong GR, Khokhar KB, Thiyagarajah A, Kadhim K, Emami M, Mishima R, Elliott AD, Middeldorp ME, Roberts-Thompson KC, Young GD, Sanders P, Lau DH. </w:t>
      </w:r>
      <w:r w:rsidRPr="00B81699">
        <w:rPr>
          <w:rFonts w:cs="Calibri"/>
          <w:noProof/>
          <w:lang w:val="en-US"/>
        </w:rPr>
        <w:t xml:space="preserve">Predicted longevity of contemporary cardiac implantable electronic devices: A call for industry-wide “standardized” reporting. </w:t>
      </w:r>
      <w:r w:rsidRPr="00B81699">
        <w:rPr>
          <w:rFonts w:cs="Calibri"/>
          <w:i/>
          <w:iCs/>
          <w:noProof/>
          <w:lang w:val="en-US"/>
        </w:rPr>
        <w:t>Hear</w:t>
      </w:r>
      <w:r w:rsidR="00967948">
        <w:rPr>
          <w:rFonts w:cs="Calibri"/>
          <w:i/>
          <w:iCs/>
          <w:noProof/>
          <w:lang w:val="en-US"/>
        </w:rPr>
        <w:t>t</w:t>
      </w:r>
      <w:r w:rsidRPr="00B81699">
        <w:rPr>
          <w:rFonts w:cs="Calibri"/>
          <w:i/>
          <w:iCs/>
          <w:noProof/>
          <w:lang w:val="en-US"/>
        </w:rPr>
        <w:t xml:space="preserve"> Rhythm</w:t>
      </w:r>
      <w:r w:rsidRPr="00B81699">
        <w:rPr>
          <w:rFonts w:cs="Calibri"/>
          <w:noProof/>
          <w:lang w:val="en-US"/>
        </w:rPr>
        <w:t>. 2018;15:1756–1763.</w:t>
      </w:r>
    </w:p>
    <w:p w14:paraId="66996C40" w14:textId="77777777" w:rsidR="00967948" w:rsidRDefault="00347663" w:rsidP="00347663">
      <w:pPr>
        <w:widowControl w:val="0"/>
        <w:autoSpaceDE w:val="0"/>
        <w:autoSpaceDN w:val="0"/>
        <w:adjustRightInd w:val="0"/>
        <w:spacing w:line="480" w:lineRule="auto"/>
        <w:ind w:left="640" w:hanging="640"/>
        <w:rPr>
          <w:rFonts w:cs="Calibri"/>
          <w:noProof/>
          <w:lang w:val="en-US"/>
        </w:rPr>
      </w:pPr>
      <w:r w:rsidRPr="00B81699">
        <w:rPr>
          <w:rFonts w:cs="Calibri"/>
          <w:noProof/>
          <w:lang w:val="en-US"/>
        </w:rPr>
        <w:t xml:space="preserve">32. </w:t>
      </w:r>
      <w:r w:rsidRPr="00B81699">
        <w:rPr>
          <w:rFonts w:cs="Calibri"/>
          <w:noProof/>
          <w:lang w:val="en-US"/>
        </w:rPr>
        <w:tab/>
        <w:t xml:space="preserve">Boriani G, Maniadakis N, Auricchio A, Müller-Riemenschneider F, Fattore G, Leyva F, Mantovani L, Siebert M, Willich SN, Vardas P, Kirchhof P. Health technology </w:t>
      </w:r>
      <w:r w:rsidRPr="00B81699">
        <w:rPr>
          <w:rFonts w:cs="Calibri"/>
          <w:noProof/>
          <w:lang w:val="en-US"/>
        </w:rPr>
        <w:lastRenderedPageBreak/>
        <w:t xml:space="preserve">assessment in interventional electrophysiology and device therapy: a position paper of the European Heart Rhythm Association. </w:t>
      </w:r>
      <w:r w:rsidRPr="00B81699">
        <w:rPr>
          <w:rFonts w:cs="Calibri"/>
          <w:i/>
          <w:iCs/>
          <w:noProof/>
          <w:lang w:val="en-US"/>
        </w:rPr>
        <w:t>Eur Heart J</w:t>
      </w:r>
      <w:r w:rsidRPr="00B81699">
        <w:rPr>
          <w:rFonts w:cs="Calibri"/>
          <w:noProof/>
          <w:lang w:val="en-US"/>
        </w:rPr>
        <w:t>. 2013;34:1869–74.</w:t>
      </w:r>
    </w:p>
    <w:p w14:paraId="26DAC777" w14:textId="77777777" w:rsidR="00347663" w:rsidRPr="00B81699" w:rsidRDefault="00967948" w:rsidP="00347663">
      <w:pPr>
        <w:widowControl w:val="0"/>
        <w:autoSpaceDE w:val="0"/>
        <w:autoSpaceDN w:val="0"/>
        <w:adjustRightInd w:val="0"/>
        <w:spacing w:line="480" w:lineRule="auto"/>
        <w:ind w:left="640" w:hanging="640"/>
        <w:rPr>
          <w:rFonts w:cs="Calibri"/>
          <w:noProof/>
          <w:lang w:val="en-US"/>
        </w:rPr>
      </w:pPr>
      <w:r w:rsidRPr="00B81699">
        <w:rPr>
          <w:rFonts w:cs="Calibri"/>
          <w:noProof/>
          <w:lang w:val="en-US"/>
        </w:rPr>
        <w:t xml:space="preserve"> </w:t>
      </w:r>
      <w:r w:rsidR="00347663" w:rsidRPr="00B81699">
        <w:rPr>
          <w:rFonts w:cs="Calibri"/>
          <w:noProof/>
          <w:lang w:val="en-US"/>
        </w:rPr>
        <w:t xml:space="preserve">33. </w:t>
      </w:r>
      <w:r w:rsidR="00347663" w:rsidRPr="00B81699">
        <w:rPr>
          <w:rFonts w:cs="Calibri"/>
          <w:noProof/>
          <w:lang w:val="en-US"/>
        </w:rPr>
        <w:tab/>
        <w:t xml:space="preserve">Timmis A, Townsend N, Gale C, Grobbee R, Maniadakis N, Flather M, Wilkins E, Wright L, Vos R, Bax J, Blum M, Pinto F, Vardas P, ESC Scientific Document Group. European Society of Cardiology: Cardiovascular Disease Statistics 2017. </w:t>
      </w:r>
      <w:r w:rsidR="00347663" w:rsidRPr="00B81699">
        <w:rPr>
          <w:rFonts w:cs="Calibri"/>
          <w:i/>
          <w:iCs/>
          <w:noProof/>
          <w:lang w:val="en-US"/>
        </w:rPr>
        <w:t>Eur Heart J</w:t>
      </w:r>
      <w:r w:rsidR="00347663" w:rsidRPr="00B81699">
        <w:rPr>
          <w:rFonts w:cs="Calibri"/>
          <w:noProof/>
          <w:lang w:val="en-US"/>
        </w:rPr>
        <w:t xml:space="preserve">. 2018;39:508–579. </w:t>
      </w:r>
    </w:p>
    <w:p w14:paraId="3222EF81" w14:textId="77777777" w:rsidR="00347663" w:rsidRPr="00B81699" w:rsidRDefault="00347663" w:rsidP="00347663">
      <w:pPr>
        <w:widowControl w:val="0"/>
        <w:autoSpaceDE w:val="0"/>
        <w:autoSpaceDN w:val="0"/>
        <w:adjustRightInd w:val="0"/>
        <w:spacing w:line="480" w:lineRule="auto"/>
        <w:ind w:left="640" w:hanging="640"/>
        <w:rPr>
          <w:rFonts w:cs="Calibri"/>
          <w:noProof/>
          <w:lang w:val="en-US"/>
        </w:rPr>
      </w:pPr>
      <w:r w:rsidRPr="00B81699">
        <w:rPr>
          <w:rFonts w:cs="Calibri"/>
          <w:noProof/>
          <w:lang w:val="en-US"/>
        </w:rPr>
        <w:t xml:space="preserve">34. </w:t>
      </w:r>
      <w:r w:rsidRPr="00B81699">
        <w:rPr>
          <w:rFonts w:cs="Calibri"/>
          <w:noProof/>
          <w:lang w:val="en-US"/>
        </w:rPr>
        <w:tab/>
        <w:t xml:space="preserve">Moss AJ, Schuger C, Beck CA, Brown MW, Cannom DS, Daubert JP, Estes NAM, Greenberg H, Hall WJ, Huang DT, Kautzner J, Klein H, McNitt S, Olshansky B, Shoda M, Wilber D, Zareba W, MADIT-RIT Trial Investigators. Reduction in inappropriate therapy and mortality through ICD programming. </w:t>
      </w:r>
      <w:r w:rsidRPr="00B81699">
        <w:rPr>
          <w:rFonts w:cs="Calibri"/>
          <w:i/>
          <w:iCs/>
          <w:noProof/>
          <w:lang w:val="en-US"/>
        </w:rPr>
        <w:t>N Engl J Med</w:t>
      </w:r>
      <w:r w:rsidRPr="00B81699">
        <w:rPr>
          <w:rFonts w:cs="Calibri"/>
          <w:noProof/>
          <w:lang w:val="en-US"/>
        </w:rPr>
        <w:t>. 2012;367:2275–83.</w:t>
      </w:r>
    </w:p>
    <w:p w14:paraId="014B0873" w14:textId="77777777" w:rsidR="00347663" w:rsidRPr="00B81699" w:rsidRDefault="00347663" w:rsidP="00347663">
      <w:pPr>
        <w:widowControl w:val="0"/>
        <w:autoSpaceDE w:val="0"/>
        <w:autoSpaceDN w:val="0"/>
        <w:adjustRightInd w:val="0"/>
        <w:spacing w:line="480" w:lineRule="auto"/>
        <w:ind w:left="640" w:hanging="640"/>
        <w:rPr>
          <w:rFonts w:cs="Calibri"/>
          <w:noProof/>
          <w:lang w:val="en-US"/>
        </w:rPr>
      </w:pPr>
      <w:r w:rsidRPr="00B81699">
        <w:rPr>
          <w:rFonts w:cs="Calibri"/>
          <w:noProof/>
          <w:lang w:val="en-US"/>
        </w:rPr>
        <w:t xml:space="preserve">35. </w:t>
      </w:r>
      <w:r w:rsidRPr="00B81699">
        <w:rPr>
          <w:rFonts w:cs="Calibri"/>
          <w:noProof/>
          <w:lang w:val="en-US"/>
        </w:rPr>
        <w:tab/>
        <w:t xml:space="preserve">Gasparini M, Proclemer A, Klersy C, Kloppe A, Lunati M, Ferrer JBM, Hersi A, Gulaj M, Wijfels MCEF, Santi E, Manotta L, Arenal A. Effect of long-detection interval vs standard-detection interval for implantable cardioverter-defibrillators on antitachycardia pacing and shock delivery: the ADVANCE III randomized clinical trial. </w:t>
      </w:r>
      <w:r w:rsidRPr="00B81699">
        <w:rPr>
          <w:rFonts w:cs="Calibri"/>
          <w:i/>
          <w:iCs/>
          <w:noProof/>
          <w:lang w:val="en-US"/>
        </w:rPr>
        <w:t>JAMA</w:t>
      </w:r>
      <w:r w:rsidRPr="00B81699">
        <w:rPr>
          <w:rFonts w:cs="Calibri"/>
          <w:noProof/>
          <w:lang w:val="en-US"/>
        </w:rPr>
        <w:t>. 2013;309:1903–11.</w:t>
      </w:r>
    </w:p>
    <w:p w14:paraId="368FDC6D" w14:textId="3656184E" w:rsidR="006E733D" w:rsidRDefault="00347663" w:rsidP="00347663">
      <w:pPr>
        <w:widowControl w:val="0"/>
        <w:autoSpaceDE w:val="0"/>
        <w:autoSpaceDN w:val="0"/>
        <w:adjustRightInd w:val="0"/>
        <w:spacing w:line="480" w:lineRule="auto"/>
        <w:ind w:left="640" w:hanging="640"/>
        <w:rPr>
          <w:color w:val="000000"/>
          <w:lang w:val="en-US"/>
        </w:rPr>
      </w:pPr>
      <w:r w:rsidRPr="00B81699">
        <w:rPr>
          <w:rFonts w:cs="Calibri"/>
          <w:noProof/>
          <w:lang w:val="en-US"/>
        </w:rPr>
        <w:t xml:space="preserve">36. </w:t>
      </w:r>
      <w:r w:rsidRPr="00B81699">
        <w:rPr>
          <w:rFonts w:cs="Calibri"/>
          <w:noProof/>
          <w:lang w:val="en-US"/>
        </w:rPr>
        <w:tab/>
        <w:t xml:space="preserve">Saeed M, Hanna I, Robotis D, Styperek R, Polosajian L, Khan A, Alonso J, Nabutovsky Y, Neason C. Programming implantable cardioverter-defibrillators in patients with primary prevention indication to prolong time to first shock: results from the PROVIDE study. </w:t>
      </w:r>
      <w:r w:rsidRPr="00B81699">
        <w:rPr>
          <w:rFonts w:cs="Calibri"/>
          <w:i/>
          <w:iCs/>
          <w:noProof/>
          <w:lang w:val="en-US"/>
        </w:rPr>
        <w:t>J Cardiovasc Electrophysiol</w:t>
      </w:r>
      <w:r w:rsidRPr="00B81699">
        <w:rPr>
          <w:rFonts w:cs="Calibri"/>
          <w:noProof/>
          <w:lang w:val="en-US"/>
        </w:rPr>
        <w:t>. 2014;25:52–9.</w:t>
      </w:r>
      <w:r w:rsidR="00967948" w:rsidRPr="005011B1">
        <w:rPr>
          <w:color w:val="000000"/>
          <w:lang w:val="en-US"/>
        </w:rPr>
        <w:t xml:space="preserve"> </w:t>
      </w:r>
    </w:p>
    <w:p w14:paraId="1FEF2A0D" w14:textId="3672B3EA" w:rsidR="003A6561" w:rsidRDefault="003A6561" w:rsidP="00347663">
      <w:pPr>
        <w:widowControl w:val="0"/>
        <w:autoSpaceDE w:val="0"/>
        <w:autoSpaceDN w:val="0"/>
        <w:adjustRightInd w:val="0"/>
        <w:spacing w:line="480" w:lineRule="auto"/>
        <w:ind w:left="640" w:hanging="640"/>
        <w:rPr>
          <w:i/>
          <w:color w:val="000000"/>
          <w:lang w:val="en-US"/>
        </w:rPr>
      </w:pPr>
      <w:r>
        <w:rPr>
          <w:color w:val="000000"/>
          <w:lang w:val="en-US"/>
        </w:rPr>
        <w:t>37.</w:t>
      </w:r>
      <w:r>
        <w:rPr>
          <w:color w:val="000000"/>
          <w:lang w:val="en-US"/>
        </w:rPr>
        <w:tab/>
      </w:r>
      <w:r w:rsidRPr="003A6561">
        <w:rPr>
          <w:color w:val="000000"/>
          <w:lang w:val="en-US"/>
        </w:rPr>
        <w:t>Gupta N, Kiley ML, Anthony F, Young C, Brar S, Kwaku K</w:t>
      </w:r>
      <w:r>
        <w:rPr>
          <w:color w:val="000000"/>
          <w:lang w:val="en-US"/>
        </w:rPr>
        <w:t xml:space="preserve">. </w:t>
      </w:r>
      <w:r w:rsidRPr="003A6561">
        <w:rPr>
          <w:color w:val="000000"/>
          <w:lang w:val="en-US"/>
        </w:rPr>
        <w:t>Multi-Center, Community-Based Cardiac Implantable Electronic Devices Registry: Population, Device Utilization, and Outcomes.</w:t>
      </w:r>
      <w:r>
        <w:rPr>
          <w:color w:val="000000"/>
          <w:lang w:val="en-US"/>
        </w:rPr>
        <w:t xml:space="preserve"> </w:t>
      </w:r>
      <w:r>
        <w:rPr>
          <w:i/>
          <w:color w:val="000000"/>
          <w:lang w:val="en-US"/>
        </w:rPr>
        <w:t>J Am Heart Assoc</w:t>
      </w:r>
      <w:r w:rsidRPr="006F35ED">
        <w:rPr>
          <w:color w:val="000000"/>
          <w:lang w:val="en-US"/>
        </w:rPr>
        <w:t>. 2016;</w:t>
      </w:r>
      <w:proofErr w:type="gramStart"/>
      <w:r w:rsidRPr="006F35ED">
        <w:rPr>
          <w:color w:val="000000"/>
          <w:lang w:val="en-US"/>
        </w:rPr>
        <w:t>5:e</w:t>
      </w:r>
      <w:proofErr w:type="gramEnd"/>
      <w:r w:rsidRPr="006F35ED">
        <w:rPr>
          <w:color w:val="000000"/>
          <w:lang w:val="en-US"/>
        </w:rPr>
        <w:t>002798.</w:t>
      </w:r>
    </w:p>
    <w:p w14:paraId="696CE329" w14:textId="70AF8698" w:rsidR="003A6561" w:rsidRPr="006F35ED" w:rsidRDefault="003A6561" w:rsidP="00347663">
      <w:pPr>
        <w:widowControl w:val="0"/>
        <w:autoSpaceDE w:val="0"/>
        <w:autoSpaceDN w:val="0"/>
        <w:adjustRightInd w:val="0"/>
        <w:spacing w:line="480" w:lineRule="auto"/>
        <w:ind w:left="640" w:hanging="640"/>
        <w:rPr>
          <w:color w:val="000000"/>
          <w:lang w:val="en-US"/>
        </w:rPr>
      </w:pPr>
      <w:r>
        <w:rPr>
          <w:color w:val="000000"/>
          <w:lang w:val="en-US"/>
        </w:rPr>
        <w:t>38.</w:t>
      </w:r>
      <w:r>
        <w:rPr>
          <w:i/>
          <w:color w:val="000000"/>
          <w:lang w:val="en-US"/>
        </w:rPr>
        <w:tab/>
      </w:r>
      <w:r w:rsidRPr="006F35ED">
        <w:rPr>
          <w:color w:val="000000"/>
          <w:lang w:val="en-US"/>
        </w:rPr>
        <w:t xml:space="preserve">Desai NR, </w:t>
      </w:r>
      <w:proofErr w:type="spellStart"/>
      <w:r w:rsidRPr="006F35ED">
        <w:rPr>
          <w:color w:val="000000"/>
          <w:lang w:val="en-US"/>
        </w:rPr>
        <w:t>Bourdillon</w:t>
      </w:r>
      <w:proofErr w:type="spellEnd"/>
      <w:r w:rsidRPr="006F35ED">
        <w:rPr>
          <w:color w:val="000000"/>
          <w:lang w:val="en-US"/>
        </w:rPr>
        <w:t xml:space="preserve"> PM, </w:t>
      </w:r>
      <w:proofErr w:type="spellStart"/>
      <w:r w:rsidRPr="006F35ED">
        <w:rPr>
          <w:color w:val="000000"/>
          <w:lang w:val="en-US"/>
        </w:rPr>
        <w:t>Parzynski</w:t>
      </w:r>
      <w:proofErr w:type="spellEnd"/>
      <w:r w:rsidRPr="006F35ED">
        <w:rPr>
          <w:color w:val="000000"/>
          <w:lang w:val="en-US"/>
        </w:rPr>
        <w:t xml:space="preserve"> CS, </w:t>
      </w:r>
      <w:proofErr w:type="spellStart"/>
      <w:r w:rsidRPr="006F35ED">
        <w:rPr>
          <w:color w:val="000000"/>
          <w:lang w:val="en-US"/>
        </w:rPr>
        <w:t>Brindis</w:t>
      </w:r>
      <w:proofErr w:type="spellEnd"/>
      <w:r w:rsidRPr="006F35ED">
        <w:rPr>
          <w:color w:val="000000"/>
          <w:lang w:val="en-US"/>
        </w:rPr>
        <w:t xml:space="preserve"> RG, </w:t>
      </w:r>
      <w:proofErr w:type="spellStart"/>
      <w:r w:rsidRPr="006F35ED">
        <w:rPr>
          <w:color w:val="000000"/>
          <w:lang w:val="en-US"/>
        </w:rPr>
        <w:t>Spatz</w:t>
      </w:r>
      <w:proofErr w:type="spellEnd"/>
      <w:r w:rsidRPr="006F35ED">
        <w:rPr>
          <w:color w:val="000000"/>
          <w:lang w:val="en-US"/>
        </w:rPr>
        <w:t xml:space="preserve"> ES, Masters C, Minges KE, Peterson P, </w:t>
      </w:r>
      <w:proofErr w:type="spellStart"/>
      <w:r w:rsidRPr="006F35ED">
        <w:rPr>
          <w:color w:val="000000"/>
          <w:lang w:val="en-US"/>
        </w:rPr>
        <w:t>Masoudi</w:t>
      </w:r>
      <w:proofErr w:type="spellEnd"/>
      <w:r w:rsidRPr="006F35ED">
        <w:rPr>
          <w:color w:val="000000"/>
          <w:lang w:val="en-US"/>
        </w:rPr>
        <w:t xml:space="preserve"> FA, </w:t>
      </w:r>
      <w:proofErr w:type="spellStart"/>
      <w:r w:rsidRPr="006F35ED">
        <w:rPr>
          <w:color w:val="000000"/>
          <w:lang w:val="en-US"/>
        </w:rPr>
        <w:t>Oetgen</w:t>
      </w:r>
      <w:proofErr w:type="spellEnd"/>
      <w:r w:rsidRPr="006F35ED">
        <w:rPr>
          <w:color w:val="000000"/>
          <w:lang w:val="en-US"/>
        </w:rPr>
        <w:t xml:space="preserve"> WJ, Buxton A, Zipes DP, Curtis JP.</w:t>
      </w:r>
      <w:r>
        <w:rPr>
          <w:color w:val="000000"/>
          <w:lang w:val="en-US"/>
        </w:rPr>
        <w:t xml:space="preserve"> </w:t>
      </w:r>
      <w:r w:rsidRPr="003A6561">
        <w:rPr>
          <w:color w:val="000000"/>
          <w:lang w:val="en-US"/>
        </w:rPr>
        <w:t xml:space="preserve">Association of the </w:t>
      </w:r>
      <w:r w:rsidRPr="003A6561">
        <w:rPr>
          <w:color w:val="000000"/>
          <w:lang w:val="en-US"/>
        </w:rPr>
        <w:lastRenderedPageBreak/>
        <w:t>US Department of Justice Investigation of Implantable Cardioverter-Defibrillators and Devices Not Meeting the Medicare National Coverage Determination, 2007-2015.</w:t>
      </w:r>
      <w:r>
        <w:rPr>
          <w:color w:val="000000"/>
          <w:lang w:val="en-US"/>
        </w:rPr>
        <w:t xml:space="preserve"> </w:t>
      </w:r>
      <w:r w:rsidR="001A4F24">
        <w:rPr>
          <w:i/>
          <w:color w:val="000000"/>
          <w:lang w:val="en-US"/>
        </w:rPr>
        <w:t>JAMA</w:t>
      </w:r>
      <w:r w:rsidR="001A4F24">
        <w:rPr>
          <w:color w:val="000000"/>
          <w:lang w:val="en-US"/>
        </w:rPr>
        <w:t xml:space="preserve">. </w:t>
      </w:r>
      <w:proofErr w:type="gramStart"/>
      <w:r w:rsidR="001A4F24" w:rsidRPr="001A4F24">
        <w:rPr>
          <w:color w:val="000000"/>
          <w:lang w:val="en-US"/>
        </w:rPr>
        <w:t>2018;320:63</w:t>
      </w:r>
      <w:proofErr w:type="gramEnd"/>
      <w:r w:rsidR="001A4F24" w:rsidRPr="001A4F24">
        <w:rPr>
          <w:color w:val="000000"/>
          <w:lang w:val="en-US"/>
        </w:rPr>
        <w:t>-71</w:t>
      </w:r>
    </w:p>
    <w:p w14:paraId="4808015D" w14:textId="77777777" w:rsidR="00A50DC3" w:rsidRPr="005011B1" w:rsidRDefault="00A50DC3" w:rsidP="00780D71">
      <w:pPr>
        <w:rPr>
          <w:color w:val="000000"/>
          <w:lang w:val="en-US"/>
        </w:rPr>
      </w:pPr>
      <w:r w:rsidRPr="005011B1">
        <w:rPr>
          <w:color w:val="000000"/>
          <w:lang w:val="en-US"/>
        </w:rPr>
        <w:br w:type="page"/>
      </w:r>
    </w:p>
    <w:p w14:paraId="762921D3" w14:textId="77777777" w:rsidR="00780D71" w:rsidRPr="005011B1" w:rsidRDefault="00780D71">
      <w:pPr>
        <w:rPr>
          <w:color w:val="000000"/>
          <w:lang w:val="en-US"/>
        </w:rPr>
      </w:pPr>
    </w:p>
    <w:p w14:paraId="6442947B" w14:textId="77777777" w:rsidR="000E1DA6" w:rsidRPr="005011B1" w:rsidRDefault="002A356A" w:rsidP="00795821">
      <w:pPr>
        <w:spacing w:line="480" w:lineRule="auto"/>
        <w:rPr>
          <w:color w:val="000000"/>
          <w:lang w:val="en-US"/>
        </w:rPr>
      </w:pPr>
      <w:r w:rsidRPr="005011B1">
        <w:rPr>
          <w:color w:val="000000"/>
          <w:lang w:val="en-US"/>
        </w:rPr>
        <w:t xml:space="preserve">Table 1. Distribution of patients </w:t>
      </w:r>
      <w:r w:rsidR="002A5550" w:rsidRPr="005011B1">
        <w:rPr>
          <w:color w:val="000000"/>
          <w:lang w:val="en-US"/>
        </w:rPr>
        <w:t xml:space="preserve">who underwent ICD replacement </w:t>
      </w:r>
      <w:r w:rsidR="000B37B9" w:rsidRPr="005011B1">
        <w:rPr>
          <w:color w:val="000000"/>
          <w:lang w:val="en-US"/>
        </w:rPr>
        <w:t>in the period 2007-</w:t>
      </w:r>
      <w:r w:rsidR="00D520A6" w:rsidRPr="005011B1">
        <w:rPr>
          <w:color w:val="000000"/>
          <w:lang w:val="en-US"/>
        </w:rPr>
        <w:t>20</w:t>
      </w:r>
      <w:r w:rsidR="000B37B9" w:rsidRPr="005011B1">
        <w:rPr>
          <w:color w:val="000000"/>
          <w:lang w:val="en-US"/>
        </w:rPr>
        <w:t>16</w:t>
      </w:r>
      <w:r w:rsidR="00AA5EDD" w:rsidRPr="005011B1">
        <w:rPr>
          <w:color w:val="000000"/>
          <w:lang w:val="en-US"/>
        </w:rPr>
        <w:t>,</w:t>
      </w:r>
      <w:r w:rsidR="000B37B9" w:rsidRPr="005011B1">
        <w:rPr>
          <w:color w:val="000000"/>
          <w:lang w:val="en-US"/>
        </w:rPr>
        <w:t xml:space="preserve"> </w:t>
      </w:r>
      <w:r w:rsidRPr="005011B1">
        <w:rPr>
          <w:color w:val="000000"/>
          <w:lang w:val="en-US"/>
        </w:rPr>
        <w:t>accordi</w:t>
      </w:r>
      <w:r w:rsidR="00064BB9" w:rsidRPr="005011B1">
        <w:rPr>
          <w:color w:val="000000"/>
          <w:lang w:val="en-US"/>
        </w:rPr>
        <w:t xml:space="preserve">ng to the type of implanted device </w:t>
      </w:r>
      <w:r w:rsidR="00D277ED" w:rsidRPr="005011B1">
        <w:rPr>
          <w:color w:val="000000"/>
          <w:lang w:val="en-US"/>
        </w:rPr>
        <w:t>and indication</w:t>
      </w:r>
      <w:r w:rsidRPr="005011B1">
        <w:rPr>
          <w:color w:val="000000"/>
          <w:lang w:val="en-US"/>
        </w:rPr>
        <w:t xml:space="preserve"> to </w:t>
      </w:r>
      <w:r w:rsidR="00064BB9" w:rsidRPr="005011B1">
        <w:rPr>
          <w:color w:val="000000"/>
          <w:lang w:val="en-US"/>
        </w:rPr>
        <w:t xml:space="preserve">first ICD </w:t>
      </w:r>
      <w:r w:rsidRPr="005011B1">
        <w:rPr>
          <w:color w:val="000000"/>
          <w:lang w:val="en-US"/>
        </w:rPr>
        <w:t>implantation. P&lt;0,001</w:t>
      </w:r>
      <w:r w:rsidR="00307615" w:rsidRPr="005011B1">
        <w:rPr>
          <w:color w:val="000000"/>
          <w:lang w:val="en-US"/>
        </w:rPr>
        <w:t xml:space="preserve">. </w:t>
      </w:r>
      <w:r w:rsidR="000E1DA6" w:rsidRPr="005011B1">
        <w:rPr>
          <w:color w:val="000000"/>
          <w:lang w:val="en-US"/>
        </w:rPr>
        <w:t>Data are expressed as count and percentage.</w:t>
      </w:r>
    </w:p>
    <w:tbl>
      <w:tblPr>
        <w:tblpPr w:leftFromText="180" w:rightFromText="180" w:vertAnchor="page" w:horzAnchor="margin" w:tblpY="4137"/>
        <w:tblW w:w="0" w:type="auto"/>
        <w:tblBorders>
          <w:top w:val="single" w:sz="4" w:space="0" w:color="7F7F7F"/>
          <w:bottom w:val="single" w:sz="4" w:space="0" w:color="7F7F7F"/>
        </w:tblBorders>
        <w:tblLook w:val="04A0" w:firstRow="1" w:lastRow="0" w:firstColumn="1" w:lastColumn="0" w:noHBand="0" w:noVBand="1"/>
      </w:tblPr>
      <w:tblGrid>
        <w:gridCol w:w="1234"/>
        <w:gridCol w:w="2152"/>
        <w:gridCol w:w="2406"/>
        <w:gridCol w:w="1622"/>
      </w:tblGrid>
      <w:tr w:rsidR="006F35ED" w:rsidRPr="005011B1" w14:paraId="0BB4897F" w14:textId="77777777" w:rsidTr="006F35ED">
        <w:tc>
          <w:tcPr>
            <w:tcW w:w="0" w:type="auto"/>
            <w:tcBorders>
              <w:bottom w:val="single" w:sz="4" w:space="0" w:color="7F7F7F"/>
            </w:tcBorders>
            <w:shd w:val="clear" w:color="auto" w:fill="auto"/>
          </w:tcPr>
          <w:p w14:paraId="130A719E" w14:textId="77777777" w:rsidR="006F35ED" w:rsidRPr="005011B1" w:rsidRDefault="006F35ED" w:rsidP="006F35ED">
            <w:pPr>
              <w:spacing w:line="480" w:lineRule="auto"/>
              <w:rPr>
                <w:b/>
                <w:bCs/>
                <w:color w:val="000000"/>
                <w:lang w:val="en-US"/>
              </w:rPr>
            </w:pPr>
          </w:p>
        </w:tc>
        <w:tc>
          <w:tcPr>
            <w:tcW w:w="0" w:type="auto"/>
            <w:tcBorders>
              <w:bottom w:val="single" w:sz="4" w:space="0" w:color="7F7F7F"/>
            </w:tcBorders>
            <w:shd w:val="clear" w:color="auto" w:fill="auto"/>
          </w:tcPr>
          <w:p w14:paraId="12B57106" w14:textId="77777777" w:rsidR="006F35ED" w:rsidRPr="005011B1" w:rsidRDefault="006F35ED" w:rsidP="006F35ED">
            <w:pPr>
              <w:spacing w:line="480" w:lineRule="auto"/>
              <w:rPr>
                <w:b/>
                <w:bCs/>
                <w:color w:val="000000"/>
                <w:lang w:val="en-US"/>
              </w:rPr>
            </w:pPr>
            <w:r w:rsidRPr="005011B1">
              <w:rPr>
                <w:b/>
                <w:bCs/>
                <w:color w:val="000000"/>
                <w:lang w:val="en-US"/>
              </w:rPr>
              <w:t>Primary Prevention</w:t>
            </w:r>
          </w:p>
        </w:tc>
        <w:tc>
          <w:tcPr>
            <w:tcW w:w="0" w:type="auto"/>
            <w:tcBorders>
              <w:bottom w:val="single" w:sz="4" w:space="0" w:color="7F7F7F"/>
            </w:tcBorders>
            <w:shd w:val="clear" w:color="auto" w:fill="auto"/>
          </w:tcPr>
          <w:p w14:paraId="55BDB69D" w14:textId="77777777" w:rsidR="006F35ED" w:rsidRPr="005011B1" w:rsidRDefault="006F35ED" w:rsidP="006F35ED">
            <w:pPr>
              <w:spacing w:line="480" w:lineRule="auto"/>
              <w:rPr>
                <w:b/>
                <w:bCs/>
                <w:color w:val="000000"/>
                <w:lang w:val="en-US"/>
              </w:rPr>
            </w:pPr>
            <w:r w:rsidRPr="005011B1">
              <w:rPr>
                <w:b/>
                <w:bCs/>
                <w:color w:val="000000"/>
                <w:lang w:val="en-US"/>
              </w:rPr>
              <w:t>Secondary Prevention</w:t>
            </w:r>
          </w:p>
        </w:tc>
        <w:tc>
          <w:tcPr>
            <w:tcW w:w="0" w:type="auto"/>
            <w:tcBorders>
              <w:bottom w:val="single" w:sz="4" w:space="0" w:color="7F7F7F"/>
            </w:tcBorders>
            <w:shd w:val="clear" w:color="auto" w:fill="auto"/>
          </w:tcPr>
          <w:p w14:paraId="6A139128" w14:textId="77777777" w:rsidR="006F35ED" w:rsidRPr="005011B1" w:rsidRDefault="006F35ED" w:rsidP="006F35ED">
            <w:pPr>
              <w:spacing w:line="480" w:lineRule="auto"/>
              <w:rPr>
                <w:b/>
                <w:bCs/>
                <w:color w:val="000000"/>
                <w:lang w:val="en-US"/>
              </w:rPr>
            </w:pPr>
            <w:r w:rsidRPr="005011B1">
              <w:rPr>
                <w:b/>
                <w:bCs/>
                <w:color w:val="000000"/>
                <w:lang w:val="en-US"/>
              </w:rPr>
              <w:t>Combined</w:t>
            </w:r>
          </w:p>
        </w:tc>
      </w:tr>
      <w:tr w:rsidR="006F35ED" w:rsidRPr="005011B1" w14:paraId="18F791D0" w14:textId="77777777" w:rsidTr="006F35ED">
        <w:tc>
          <w:tcPr>
            <w:tcW w:w="0" w:type="auto"/>
            <w:tcBorders>
              <w:top w:val="single" w:sz="4" w:space="0" w:color="7F7F7F"/>
              <w:bottom w:val="single" w:sz="4" w:space="0" w:color="7F7F7F"/>
            </w:tcBorders>
            <w:shd w:val="clear" w:color="auto" w:fill="auto"/>
          </w:tcPr>
          <w:p w14:paraId="280B7813" w14:textId="77777777" w:rsidR="006F35ED" w:rsidRPr="005011B1" w:rsidRDefault="006F35ED" w:rsidP="006F35ED">
            <w:pPr>
              <w:spacing w:line="480" w:lineRule="auto"/>
              <w:rPr>
                <w:b/>
                <w:bCs/>
                <w:color w:val="000000"/>
                <w:lang w:val="en-US"/>
              </w:rPr>
            </w:pPr>
            <w:r w:rsidRPr="005011B1">
              <w:rPr>
                <w:b/>
                <w:bCs/>
                <w:color w:val="000000"/>
                <w:lang w:val="en-US"/>
              </w:rPr>
              <w:t>ICD-VR</w:t>
            </w:r>
          </w:p>
        </w:tc>
        <w:tc>
          <w:tcPr>
            <w:tcW w:w="0" w:type="auto"/>
            <w:tcBorders>
              <w:top w:val="single" w:sz="4" w:space="0" w:color="7F7F7F"/>
              <w:bottom w:val="single" w:sz="4" w:space="0" w:color="7F7F7F"/>
            </w:tcBorders>
            <w:shd w:val="clear" w:color="auto" w:fill="auto"/>
          </w:tcPr>
          <w:p w14:paraId="5B0A2773" w14:textId="77777777" w:rsidR="006F35ED" w:rsidRPr="005011B1" w:rsidRDefault="006F35ED" w:rsidP="006F35ED">
            <w:pPr>
              <w:spacing w:line="480" w:lineRule="auto"/>
              <w:rPr>
                <w:color w:val="000000"/>
                <w:lang w:val="en-US"/>
              </w:rPr>
            </w:pPr>
            <w:r w:rsidRPr="005011B1">
              <w:rPr>
                <w:color w:val="000000"/>
                <w:lang w:val="en-US"/>
              </w:rPr>
              <w:t>3797 (20.2%)</w:t>
            </w:r>
          </w:p>
        </w:tc>
        <w:tc>
          <w:tcPr>
            <w:tcW w:w="0" w:type="auto"/>
            <w:tcBorders>
              <w:top w:val="single" w:sz="4" w:space="0" w:color="7F7F7F"/>
              <w:bottom w:val="single" w:sz="4" w:space="0" w:color="7F7F7F"/>
            </w:tcBorders>
            <w:shd w:val="clear" w:color="auto" w:fill="auto"/>
          </w:tcPr>
          <w:p w14:paraId="2F98499C" w14:textId="77777777" w:rsidR="006F35ED" w:rsidRPr="005011B1" w:rsidRDefault="006F35ED" w:rsidP="006F35ED">
            <w:pPr>
              <w:spacing w:line="480" w:lineRule="auto"/>
              <w:rPr>
                <w:color w:val="000000"/>
                <w:lang w:val="en-US"/>
              </w:rPr>
            </w:pPr>
            <w:r w:rsidRPr="005011B1">
              <w:rPr>
                <w:color w:val="000000"/>
                <w:lang w:val="en-US"/>
              </w:rPr>
              <w:t>3278 (31.7%)</w:t>
            </w:r>
          </w:p>
        </w:tc>
        <w:tc>
          <w:tcPr>
            <w:tcW w:w="0" w:type="auto"/>
            <w:tcBorders>
              <w:top w:val="single" w:sz="4" w:space="0" w:color="7F7F7F"/>
              <w:bottom w:val="single" w:sz="4" w:space="0" w:color="7F7F7F"/>
            </w:tcBorders>
            <w:shd w:val="clear" w:color="auto" w:fill="auto"/>
          </w:tcPr>
          <w:p w14:paraId="004CAF8E" w14:textId="77777777" w:rsidR="006F35ED" w:rsidRPr="005011B1" w:rsidRDefault="006F35ED" w:rsidP="006F35ED">
            <w:pPr>
              <w:spacing w:line="480" w:lineRule="auto"/>
              <w:rPr>
                <w:color w:val="000000"/>
                <w:lang w:val="en-US"/>
              </w:rPr>
            </w:pPr>
            <w:r w:rsidRPr="005011B1">
              <w:rPr>
                <w:color w:val="000000"/>
                <w:lang w:val="en-US"/>
              </w:rPr>
              <w:t>7075 (24.3%)</w:t>
            </w:r>
          </w:p>
        </w:tc>
      </w:tr>
      <w:tr w:rsidR="006F35ED" w:rsidRPr="005011B1" w14:paraId="7DB1F87D" w14:textId="77777777" w:rsidTr="006F35ED">
        <w:tc>
          <w:tcPr>
            <w:tcW w:w="0" w:type="auto"/>
            <w:shd w:val="clear" w:color="auto" w:fill="auto"/>
          </w:tcPr>
          <w:p w14:paraId="6CA18704" w14:textId="77777777" w:rsidR="006F35ED" w:rsidRPr="005011B1" w:rsidRDefault="006F35ED" w:rsidP="006F35ED">
            <w:pPr>
              <w:spacing w:line="480" w:lineRule="auto"/>
              <w:rPr>
                <w:b/>
                <w:bCs/>
                <w:color w:val="000000"/>
                <w:lang w:val="en-US"/>
              </w:rPr>
            </w:pPr>
            <w:r w:rsidRPr="005011B1">
              <w:rPr>
                <w:b/>
                <w:bCs/>
                <w:color w:val="000000"/>
                <w:lang w:val="en-US"/>
              </w:rPr>
              <w:t>ICD-DR</w:t>
            </w:r>
          </w:p>
        </w:tc>
        <w:tc>
          <w:tcPr>
            <w:tcW w:w="0" w:type="auto"/>
            <w:shd w:val="clear" w:color="auto" w:fill="auto"/>
          </w:tcPr>
          <w:p w14:paraId="0BC5A457" w14:textId="77777777" w:rsidR="006F35ED" w:rsidRPr="005011B1" w:rsidRDefault="006F35ED" w:rsidP="006F35ED">
            <w:pPr>
              <w:spacing w:line="480" w:lineRule="auto"/>
              <w:rPr>
                <w:color w:val="000000"/>
                <w:lang w:val="en-US"/>
              </w:rPr>
            </w:pPr>
            <w:r w:rsidRPr="005011B1">
              <w:rPr>
                <w:color w:val="000000"/>
                <w:lang w:val="en-US"/>
              </w:rPr>
              <w:t>4733 (25.1%)</w:t>
            </w:r>
          </w:p>
        </w:tc>
        <w:tc>
          <w:tcPr>
            <w:tcW w:w="0" w:type="auto"/>
            <w:shd w:val="clear" w:color="auto" w:fill="auto"/>
          </w:tcPr>
          <w:p w14:paraId="383E5B46" w14:textId="77777777" w:rsidR="006F35ED" w:rsidRPr="005011B1" w:rsidRDefault="006F35ED" w:rsidP="006F35ED">
            <w:pPr>
              <w:spacing w:line="480" w:lineRule="auto"/>
              <w:rPr>
                <w:color w:val="000000"/>
                <w:lang w:val="en-US"/>
              </w:rPr>
            </w:pPr>
            <w:r w:rsidRPr="005011B1">
              <w:rPr>
                <w:color w:val="000000"/>
                <w:lang w:val="en-US"/>
              </w:rPr>
              <w:t>3478 (33.6%)</w:t>
            </w:r>
          </w:p>
        </w:tc>
        <w:tc>
          <w:tcPr>
            <w:tcW w:w="0" w:type="auto"/>
            <w:shd w:val="clear" w:color="auto" w:fill="auto"/>
          </w:tcPr>
          <w:p w14:paraId="4B4052B6" w14:textId="77777777" w:rsidR="006F35ED" w:rsidRPr="005011B1" w:rsidRDefault="006F35ED" w:rsidP="006F35ED">
            <w:pPr>
              <w:spacing w:line="480" w:lineRule="auto"/>
              <w:rPr>
                <w:color w:val="000000"/>
                <w:lang w:val="en-US"/>
              </w:rPr>
            </w:pPr>
            <w:r w:rsidRPr="005011B1">
              <w:rPr>
                <w:color w:val="000000"/>
                <w:lang w:val="en-US"/>
              </w:rPr>
              <w:t>8211 (28.2%)</w:t>
            </w:r>
          </w:p>
        </w:tc>
      </w:tr>
      <w:tr w:rsidR="006F35ED" w:rsidRPr="005011B1" w14:paraId="79E62CAB" w14:textId="77777777" w:rsidTr="006F35ED">
        <w:tc>
          <w:tcPr>
            <w:tcW w:w="0" w:type="auto"/>
            <w:tcBorders>
              <w:top w:val="single" w:sz="4" w:space="0" w:color="7F7F7F"/>
              <w:bottom w:val="single" w:sz="4" w:space="0" w:color="7F7F7F"/>
            </w:tcBorders>
            <w:shd w:val="clear" w:color="auto" w:fill="auto"/>
          </w:tcPr>
          <w:p w14:paraId="2F96D496" w14:textId="77777777" w:rsidR="006F35ED" w:rsidRPr="005011B1" w:rsidRDefault="006F35ED" w:rsidP="006F35ED">
            <w:pPr>
              <w:spacing w:line="480" w:lineRule="auto"/>
              <w:rPr>
                <w:b/>
                <w:bCs/>
                <w:color w:val="000000"/>
                <w:lang w:val="en-US"/>
              </w:rPr>
            </w:pPr>
            <w:r w:rsidRPr="005011B1">
              <w:rPr>
                <w:b/>
                <w:bCs/>
                <w:color w:val="000000"/>
                <w:lang w:val="en-US"/>
              </w:rPr>
              <w:t>CRT-D</w:t>
            </w:r>
          </w:p>
        </w:tc>
        <w:tc>
          <w:tcPr>
            <w:tcW w:w="0" w:type="auto"/>
            <w:tcBorders>
              <w:top w:val="single" w:sz="4" w:space="0" w:color="7F7F7F"/>
              <w:bottom w:val="single" w:sz="4" w:space="0" w:color="7F7F7F"/>
            </w:tcBorders>
            <w:shd w:val="clear" w:color="auto" w:fill="auto"/>
          </w:tcPr>
          <w:p w14:paraId="48665E07" w14:textId="77777777" w:rsidR="006F35ED" w:rsidRPr="005011B1" w:rsidRDefault="006F35ED" w:rsidP="006F35ED">
            <w:pPr>
              <w:spacing w:line="480" w:lineRule="auto"/>
              <w:rPr>
                <w:color w:val="000000"/>
                <w:lang w:val="en-US"/>
              </w:rPr>
            </w:pPr>
            <w:r w:rsidRPr="005011B1">
              <w:rPr>
                <w:color w:val="000000"/>
                <w:lang w:val="en-US"/>
              </w:rPr>
              <w:t>10284 (54.7%)</w:t>
            </w:r>
          </w:p>
        </w:tc>
        <w:tc>
          <w:tcPr>
            <w:tcW w:w="0" w:type="auto"/>
            <w:tcBorders>
              <w:top w:val="single" w:sz="4" w:space="0" w:color="7F7F7F"/>
              <w:bottom w:val="single" w:sz="4" w:space="0" w:color="7F7F7F"/>
            </w:tcBorders>
            <w:shd w:val="clear" w:color="auto" w:fill="auto"/>
          </w:tcPr>
          <w:p w14:paraId="1A31FCBA" w14:textId="77777777" w:rsidR="006F35ED" w:rsidRPr="005011B1" w:rsidRDefault="006F35ED" w:rsidP="006F35ED">
            <w:pPr>
              <w:spacing w:line="480" w:lineRule="auto"/>
              <w:rPr>
                <w:color w:val="000000"/>
                <w:lang w:val="en-US"/>
              </w:rPr>
            </w:pPr>
            <w:r w:rsidRPr="005011B1">
              <w:rPr>
                <w:color w:val="000000"/>
                <w:lang w:val="en-US"/>
              </w:rPr>
              <w:t>3588 (34.7%)</w:t>
            </w:r>
          </w:p>
        </w:tc>
        <w:tc>
          <w:tcPr>
            <w:tcW w:w="0" w:type="auto"/>
            <w:tcBorders>
              <w:top w:val="single" w:sz="4" w:space="0" w:color="7F7F7F"/>
              <w:bottom w:val="single" w:sz="4" w:space="0" w:color="7F7F7F"/>
            </w:tcBorders>
            <w:shd w:val="clear" w:color="auto" w:fill="auto"/>
          </w:tcPr>
          <w:p w14:paraId="0AB9184E" w14:textId="77777777" w:rsidR="006F35ED" w:rsidRPr="005011B1" w:rsidRDefault="006F35ED" w:rsidP="006F35ED">
            <w:pPr>
              <w:spacing w:line="480" w:lineRule="auto"/>
              <w:rPr>
                <w:color w:val="000000"/>
                <w:lang w:val="en-US"/>
              </w:rPr>
            </w:pPr>
            <w:r w:rsidRPr="005011B1">
              <w:rPr>
                <w:color w:val="000000"/>
                <w:lang w:val="en-US"/>
              </w:rPr>
              <w:t>13872 (47.5%)</w:t>
            </w:r>
          </w:p>
        </w:tc>
      </w:tr>
      <w:tr w:rsidR="006F35ED" w:rsidRPr="005011B1" w14:paraId="105D92B9" w14:textId="77777777" w:rsidTr="006F35ED">
        <w:tc>
          <w:tcPr>
            <w:tcW w:w="0" w:type="auto"/>
            <w:shd w:val="clear" w:color="auto" w:fill="auto"/>
          </w:tcPr>
          <w:p w14:paraId="0E4C8F24" w14:textId="77777777" w:rsidR="006F35ED" w:rsidRPr="005011B1" w:rsidRDefault="006F35ED" w:rsidP="006F35ED">
            <w:pPr>
              <w:spacing w:line="480" w:lineRule="auto"/>
              <w:rPr>
                <w:b/>
                <w:bCs/>
                <w:color w:val="000000"/>
                <w:lang w:val="en-US"/>
              </w:rPr>
            </w:pPr>
            <w:r w:rsidRPr="005011B1">
              <w:rPr>
                <w:b/>
                <w:bCs/>
                <w:color w:val="000000"/>
                <w:lang w:val="en-US"/>
              </w:rPr>
              <w:t>Combined</w:t>
            </w:r>
          </w:p>
        </w:tc>
        <w:tc>
          <w:tcPr>
            <w:tcW w:w="0" w:type="auto"/>
            <w:shd w:val="clear" w:color="auto" w:fill="auto"/>
          </w:tcPr>
          <w:p w14:paraId="2A1C04AA" w14:textId="77777777" w:rsidR="006F35ED" w:rsidRPr="005011B1" w:rsidRDefault="006F35ED" w:rsidP="006F35ED">
            <w:pPr>
              <w:spacing w:line="480" w:lineRule="auto"/>
              <w:rPr>
                <w:color w:val="000000"/>
                <w:lang w:val="en-US"/>
              </w:rPr>
            </w:pPr>
            <w:r w:rsidRPr="005011B1">
              <w:rPr>
                <w:color w:val="000000"/>
                <w:lang w:val="en-US"/>
              </w:rPr>
              <w:t>18814 (100%)</w:t>
            </w:r>
          </w:p>
        </w:tc>
        <w:tc>
          <w:tcPr>
            <w:tcW w:w="0" w:type="auto"/>
            <w:shd w:val="clear" w:color="auto" w:fill="auto"/>
          </w:tcPr>
          <w:p w14:paraId="0FEBA429" w14:textId="77777777" w:rsidR="006F35ED" w:rsidRPr="005011B1" w:rsidRDefault="006F35ED" w:rsidP="006F35ED">
            <w:pPr>
              <w:spacing w:line="480" w:lineRule="auto"/>
              <w:rPr>
                <w:color w:val="000000"/>
                <w:lang w:val="en-US"/>
              </w:rPr>
            </w:pPr>
            <w:r w:rsidRPr="005011B1">
              <w:rPr>
                <w:color w:val="000000"/>
                <w:lang w:val="en-US"/>
              </w:rPr>
              <w:t>10344 (100%)</w:t>
            </w:r>
          </w:p>
        </w:tc>
        <w:tc>
          <w:tcPr>
            <w:tcW w:w="0" w:type="auto"/>
            <w:shd w:val="clear" w:color="auto" w:fill="auto"/>
          </w:tcPr>
          <w:p w14:paraId="5E05676C" w14:textId="77777777" w:rsidR="006F35ED" w:rsidRPr="005011B1" w:rsidRDefault="006F35ED" w:rsidP="006F35ED">
            <w:pPr>
              <w:spacing w:line="480" w:lineRule="auto"/>
              <w:rPr>
                <w:color w:val="000000"/>
                <w:lang w:val="en-US"/>
              </w:rPr>
            </w:pPr>
            <w:r w:rsidRPr="005011B1">
              <w:rPr>
                <w:color w:val="000000"/>
                <w:lang w:val="en-US"/>
              </w:rPr>
              <w:t>29158 (100%)</w:t>
            </w:r>
          </w:p>
        </w:tc>
      </w:tr>
    </w:tbl>
    <w:p w14:paraId="69472206" w14:textId="77777777" w:rsidR="00025EFD" w:rsidRPr="005011B1" w:rsidRDefault="00025EFD">
      <w:pPr>
        <w:rPr>
          <w:color w:val="000000"/>
          <w:lang w:val="en-US"/>
        </w:rPr>
      </w:pPr>
      <w:r w:rsidRPr="005011B1">
        <w:rPr>
          <w:color w:val="000000"/>
          <w:lang w:val="en-US"/>
        </w:rPr>
        <w:br w:type="page"/>
      </w:r>
    </w:p>
    <w:p w14:paraId="68F13D3C" w14:textId="271850EF" w:rsidR="00251846" w:rsidRDefault="00780D71" w:rsidP="00C075F6">
      <w:pPr>
        <w:spacing w:line="480" w:lineRule="auto"/>
        <w:rPr>
          <w:color w:val="000000"/>
          <w:lang w:val="en-US"/>
        </w:rPr>
      </w:pPr>
      <w:r w:rsidRPr="005011B1">
        <w:rPr>
          <w:color w:val="000000"/>
          <w:lang w:val="en-US"/>
        </w:rPr>
        <w:lastRenderedPageBreak/>
        <w:t xml:space="preserve">Table 2. </w:t>
      </w:r>
      <w:r w:rsidR="008C3E81">
        <w:rPr>
          <w:color w:val="000000"/>
          <w:lang w:val="en-US"/>
        </w:rPr>
        <w:t>Demographic characteristics of the population and d</w:t>
      </w:r>
      <w:r w:rsidRPr="005011B1">
        <w:rPr>
          <w:color w:val="000000"/>
          <w:lang w:val="en-US"/>
        </w:rPr>
        <w:t xml:space="preserve">istribution of patients according to the underlying heart disease and device characteristics. Data are expressed as </w:t>
      </w:r>
      <w:r w:rsidR="007F371F">
        <w:rPr>
          <w:color w:val="000000"/>
          <w:lang w:val="en-US"/>
        </w:rPr>
        <w:t xml:space="preserve">mean </w:t>
      </w:r>
      <w:r w:rsidR="007F371F">
        <w:rPr>
          <w:color w:val="000000"/>
          <w:lang w:val="en-US"/>
        </w:rPr>
        <w:sym w:font="Symbol" w:char="F0B1"/>
      </w:r>
      <w:r w:rsidR="007F371F">
        <w:rPr>
          <w:color w:val="000000"/>
          <w:lang w:val="en-US"/>
        </w:rPr>
        <w:t xml:space="preserve"> standard deviation or as </w:t>
      </w:r>
      <w:r w:rsidR="007F371F" w:rsidRPr="005011B1">
        <w:rPr>
          <w:color w:val="000000"/>
          <w:lang w:val="en-US"/>
        </w:rPr>
        <w:t>count and percentage</w:t>
      </w:r>
      <w:r w:rsidR="007F371F">
        <w:rPr>
          <w:color w:val="000000"/>
          <w:lang w:val="en-US"/>
        </w:rPr>
        <w:t>, as appropriate</w:t>
      </w:r>
      <w:r w:rsidRPr="005011B1">
        <w:rPr>
          <w:color w:val="000000"/>
          <w:lang w:val="en-US"/>
        </w:rPr>
        <w:t>.</w:t>
      </w:r>
    </w:p>
    <w:tbl>
      <w:tblPr>
        <w:tblW w:w="0" w:type="auto"/>
        <w:tblBorders>
          <w:top w:val="single" w:sz="4" w:space="0" w:color="7F7F7F"/>
          <w:bottom w:val="single" w:sz="4" w:space="0" w:color="7F7F7F"/>
        </w:tblBorders>
        <w:tblLayout w:type="fixed"/>
        <w:tblLook w:val="04A0" w:firstRow="1" w:lastRow="0" w:firstColumn="1" w:lastColumn="0" w:noHBand="0" w:noVBand="1"/>
      </w:tblPr>
      <w:tblGrid>
        <w:gridCol w:w="4253"/>
        <w:gridCol w:w="1191"/>
        <w:gridCol w:w="1192"/>
        <w:gridCol w:w="1192"/>
        <w:gridCol w:w="1192"/>
      </w:tblGrid>
      <w:tr w:rsidR="00C075F6" w:rsidRPr="005011B1" w14:paraId="49374B33" w14:textId="77777777" w:rsidTr="00C075F6">
        <w:trPr>
          <w:trHeight w:val="1259"/>
        </w:trPr>
        <w:tc>
          <w:tcPr>
            <w:tcW w:w="4253" w:type="dxa"/>
            <w:tcBorders>
              <w:bottom w:val="single" w:sz="4" w:space="0" w:color="7F7F7F"/>
            </w:tcBorders>
            <w:shd w:val="clear" w:color="auto" w:fill="auto"/>
          </w:tcPr>
          <w:p w14:paraId="09C706B5" w14:textId="77777777" w:rsidR="00C075F6" w:rsidRPr="005011B1" w:rsidRDefault="00C075F6" w:rsidP="00C075F6">
            <w:pPr>
              <w:spacing w:line="480" w:lineRule="auto"/>
              <w:rPr>
                <w:b/>
                <w:bCs/>
                <w:color w:val="000000"/>
                <w:sz w:val="13"/>
                <w:lang w:val="en-US"/>
              </w:rPr>
            </w:pPr>
            <w:r w:rsidRPr="005011B1">
              <w:rPr>
                <w:b/>
                <w:bCs/>
                <w:color w:val="000000"/>
                <w:sz w:val="13"/>
                <w:lang w:val="en-US"/>
              </w:rPr>
              <w:t> </w:t>
            </w:r>
          </w:p>
        </w:tc>
        <w:tc>
          <w:tcPr>
            <w:tcW w:w="1191" w:type="dxa"/>
            <w:tcBorders>
              <w:bottom w:val="single" w:sz="4" w:space="0" w:color="7F7F7F"/>
            </w:tcBorders>
            <w:shd w:val="clear" w:color="auto" w:fill="auto"/>
          </w:tcPr>
          <w:p w14:paraId="3359146A" w14:textId="77777777" w:rsidR="00C075F6" w:rsidRPr="005011B1" w:rsidRDefault="00C075F6" w:rsidP="00C075F6">
            <w:pPr>
              <w:spacing w:line="480" w:lineRule="auto"/>
              <w:rPr>
                <w:b/>
                <w:bCs/>
                <w:color w:val="000000"/>
                <w:lang w:val="en-US"/>
              </w:rPr>
            </w:pPr>
            <w:r w:rsidRPr="005011B1">
              <w:rPr>
                <w:b/>
                <w:bCs/>
                <w:color w:val="000000"/>
                <w:lang w:val="en-US"/>
              </w:rPr>
              <w:t>ICD-VR</w:t>
            </w:r>
          </w:p>
        </w:tc>
        <w:tc>
          <w:tcPr>
            <w:tcW w:w="1192" w:type="dxa"/>
            <w:tcBorders>
              <w:bottom w:val="single" w:sz="4" w:space="0" w:color="7F7F7F"/>
            </w:tcBorders>
            <w:shd w:val="clear" w:color="auto" w:fill="auto"/>
          </w:tcPr>
          <w:p w14:paraId="7B70E4FF" w14:textId="77777777" w:rsidR="00C075F6" w:rsidRPr="005011B1" w:rsidRDefault="00C075F6" w:rsidP="00C075F6">
            <w:pPr>
              <w:spacing w:line="480" w:lineRule="auto"/>
              <w:rPr>
                <w:b/>
                <w:bCs/>
                <w:color w:val="000000"/>
                <w:lang w:val="en-US"/>
              </w:rPr>
            </w:pPr>
            <w:r w:rsidRPr="005011B1">
              <w:rPr>
                <w:b/>
                <w:bCs/>
                <w:color w:val="000000"/>
                <w:lang w:val="en-US"/>
              </w:rPr>
              <w:t>ICD-DR</w:t>
            </w:r>
          </w:p>
        </w:tc>
        <w:tc>
          <w:tcPr>
            <w:tcW w:w="1192" w:type="dxa"/>
            <w:tcBorders>
              <w:bottom w:val="single" w:sz="4" w:space="0" w:color="7F7F7F"/>
            </w:tcBorders>
            <w:shd w:val="clear" w:color="auto" w:fill="auto"/>
          </w:tcPr>
          <w:p w14:paraId="350DF735" w14:textId="77777777" w:rsidR="00C075F6" w:rsidRPr="005011B1" w:rsidRDefault="00C075F6" w:rsidP="00C075F6">
            <w:pPr>
              <w:spacing w:line="480" w:lineRule="auto"/>
              <w:rPr>
                <w:b/>
                <w:bCs/>
                <w:color w:val="000000"/>
                <w:lang w:val="en-US"/>
              </w:rPr>
            </w:pPr>
            <w:r w:rsidRPr="005011B1">
              <w:rPr>
                <w:b/>
                <w:bCs/>
                <w:color w:val="000000"/>
                <w:lang w:val="en-US"/>
              </w:rPr>
              <w:t>CRT-D</w:t>
            </w:r>
          </w:p>
        </w:tc>
        <w:tc>
          <w:tcPr>
            <w:tcW w:w="1192" w:type="dxa"/>
            <w:tcBorders>
              <w:bottom w:val="single" w:sz="4" w:space="0" w:color="7F7F7F"/>
            </w:tcBorders>
            <w:shd w:val="clear" w:color="auto" w:fill="auto"/>
          </w:tcPr>
          <w:p w14:paraId="73D18DBC" w14:textId="77777777" w:rsidR="00C075F6" w:rsidRPr="005011B1" w:rsidRDefault="00C075F6" w:rsidP="00C075F6">
            <w:pPr>
              <w:spacing w:line="480" w:lineRule="auto"/>
              <w:rPr>
                <w:b/>
                <w:bCs/>
                <w:color w:val="000000"/>
                <w:sz w:val="20"/>
                <w:lang w:val="en-US"/>
              </w:rPr>
            </w:pPr>
            <w:r w:rsidRPr="005011B1">
              <w:rPr>
                <w:b/>
                <w:bCs/>
                <w:color w:val="000000"/>
                <w:sz w:val="20"/>
                <w:lang w:val="en-US"/>
              </w:rPr>
              <w:t>COMBINED</w:t>
            </w:r>
          </w:p>
        </w:tc>
      </w:tr>
      <w:tr w:rsidR="009C5A24" w:rsidRPr="005011B1" w14:paraId="4EC07B88" w14:textId="77777777" w:rsidTr="00C075F6">
        <w:trPr>
          <w:trHeight w:val="1259"/>
        </w:trPr>
        <w:tc>
          <w:tcPr>
            <w:tcW w:w="4253" w:type="dxa"/>
            <w:tcBorders>
              <w:bottom w:val="single" w:sz="4" w:space="0" w:color="7F7F7F"/>
            </w:tcBorders>
            <w:shd w:val="clear" w:color="auto" w:fill="auto"/>
          </w:tcPr>
          <w:p w14:paraId="694CBE90" w14:textId="77777777" w:rsidR="009C5A24" w:rsidRPr="005011B1" w:rsidRDefault="009C5A24" w:rsidP="00C075F6">
            <w:pPr>
              <w:spacing w:line="480" w:lineRule="auto"/>
              <w:rPr>
                <w:b/>
                <w:bCs/>
                <w:color w:val="000000"/>
                <w:sz w:val="13"/>
                <w:lang w:val="en-US"/>
              </w:rPr>
            </w:pPr>
            <w:r w:rsidRPr="006F35ED">
              <w:rPr>
                <w:rFonts w:ascii="Times New Roman" w:hAnsi="Times New Roman"/>
                <w:b/>
                <w:bCs/>
                <w:color w:val="000000"/>
                <w:lang w:val="en-US"/>
              </w:rPr>
              <w:t>Age</w:t>
            </w:r>
            <w:r w:rsidR="005E4ED1">
              <w:rPr>
                <w:rFonts w:ascii="Times New Roman" w:hAnsi="Times New Roman"/>
                <w:b/>
                <w:bCs/>
                <w:color w:val="000000"/>
                <w:lang w:val="en-US"/>
              </w:rPr>
              <w:t xml:space="preserve"> (years)</w:t>
            </w:r>
          </w:p>
        </w:tc>
        <w:tc>
          <w:tcPr>
            <w:tcW w:w="1191" w:type="dxa"/>
            <w:tcBorders>
              <w:bottom w:val="single" w:sz="4" w:space="0" w:color="7F7F7F"/>
            </w:tcBorders>
            <w:shd w:val="clear" w:color="auto" w:fill="auto"/>
          </w:tcPr>
          <w:p w14:paraId="40378EC0" w14:textId="77777777" w:rsidR="009C5A24" w:rsidRPr="006F35ED" w:rsidRDefault="00E673F3" w:rsidP="00C075F6">
            <w:pPr>
              <w:keepNext/>
              <w:keepLines/>
              <w:spacing w:before="200" w:line="480" w:lineRule="auto"/>
              <w:outlineLvl w:val="5"/>
              <w:rPr>
                <w:color w:val="000000"/>
                <w:sz w:val="22"/>
                <w:lang w:val="en-US"/>
              </w:rPr>
            </w:pPr>
            <w:r w:rsidRPr="006F35ED">
              <w:rPr>
                <w:color w:val="000000"/>
                <w:sz w:val="22"/>
                <w:lang w:val="en-US"/>
              </w:rPr>
              <w:t>61.3</w:t>
            </w:r>
            <w:r w:rsidRPr="006F35ED">
              <w:rPr>
                <w:color w:val="000000"/>
                <w:sz w:val="22"/>
                <w:lang w:val="en-US"/>
              </w:rPr>
              <w:sym w:font="Symbol" w:char="F0B1"/>
            </w:r>
            <w:r w:rsidRPr="006F35ED">
              <w:rPr>
                <w:color w:val="000000"/>
                <w:sz w:val="22"/>
                <w:lang w:val="en-US"/>
              </w:rPr>
              <w:t>14.4</w:t>
            </w:r>
          </w:p>
        </w:tc>
        <w:tc>
          <w:tcPr>
            <w:tcW w:w="1192" w:type="dxa"/>
            <w:tcBorders>
              <w:bottom w:val="single" w:sz="4" w:space="0" w:color="7F7F7F"/>
            </w:tcBorders>
            <w:shd w:val="clear" w:color="auto" w:fill="auto"/>
          </w:tcPr>
          <w:p w14:paraId="2E6C3FEE" w14:textId="77777777" w:rsidR="009C5A24" w:rsidRPr="006F35ED" w:rsidRDefault="00E673F3" w:rsidP="00C075F6">
            <w:pPr>
              <w:keepNext/>
              <w:keepLines/>
              <w:spacing w:before="200" w:line="480" w:lineRule="auto"/>
              <w:outlineLvl w:val="5"/>
              <w:rPr>
                <w:color w:val="000000"/>
                <w:sz w:val="22"/>
                <w:lang w:val="en-US"/>
              </w:rPr>
            </w:pPr>
            <w:r w:rsidRPr="006F35ED">
              <w:rPr>
                <w:color w:val="000000"/>
                <w:sz w:val="22"/>
                <w:lang w:val="en-US"/>
              </w:rPr>
              <w:t>64.3</w:t>
            </w:r>
            <w:r w:rsidRPr="006F35ED">
              <w:rPr>
                <w:color w:val="000000"/>
                <w:sz w:val="22"/>
                <w:lang w:val="en-US"/>
              </w:rPr>
              <w:sym w:font="Symbol" w:char="F0B1"/>
            </w:r>
            <w:r w:rsidRPr="006F35ED">
              <w:rPr>
                <w:color w:val="000000"/>
                <w:sz w:val="22"/>
                <w:lang w:val="en-US"/>
              </w:rPr>
              <w:t>12.6</w:t>
            </w:r>
          </w:p>
        </w:tc>
        <w:tc>
          <w:tcPr>
            <w:tcW w:w="1192" w:type="dxa"/>
            <w:tcBorders>
              <w:bottom w:val="single" w:sz="4" w:space="0" w:color="7F7F7F"/>
            </w:tcBorders>
            <w:shd w:val="clear" w:color="auto" w:fill="auto"/>
          </w:tcPr>
          <w:p w14:paraId="09DD61AF" w14:textId="77777777" w:rsidR="009C5A24" w:rsidRPr="006F35ED" w:rsidRDefault="00E673F3" w:rsidP="00C075F6">
            <w:pPr>
              <w:keepNext/>
              <w:keepLines/>
              <w:spacing w:before="200" w:line="480" w:lineRule="auto"/>
              <w:outlineLvl w:val="5"/>
              <w:rPr>
                <w:color w:val="000000"/>
                <w:sz w:val="22"/>
                <w:lang w:val="en-US"/>
              </w:rPr>
            </w:pPr>
            <w:r w:rsidRPr="006F35ED">
              <w:rPr>
                <w:color w:val="000000"/>
                <w:sz w:val="22"/>
                <w:lang w:val="en-US"/>
              </w:rPr>
              <w:t>67.7</w:t>
            </w:r>
            <w:r w:rsidRPr="006F35ED">
              <w:rPr>
                <w:color w:val="000000"/>
                <w:sz w:val="22"/>
                <w:lang w:val="en-US"/>
              </w:rPr>
              <w:sym w:font="Symbol" w:char="F0B1"/>
            </w:r>
            <w:r w:rsidRPr="006F35ED">
              <w:rPr>
                <w:color w:val="000000"/>
                <w:sz w:val="22"/>
                <w:lang w:val="en-US"/>
              </w:rPr>
              <w:t>9.7</w:t>
            </w:r>
          </w:p>
        </w:tc>
        <w:tc>
          <w:tcPr>
            <w:tcW w:w="1192" w:type="dxa"/>
            <w:tcBorders>
              <w:bottom w:val="single" w:sz="4" w:space="0" w:color="7F7F7F"/>
            </w:tcBorders>
            <w:shd w:val="clear" w:color="auto" w:fill="auto"/>
          </w:tcPr>
          <w:p w14:paraId="0CF93059" w14:textId="77777777" w:rsidR="009C5A24" w:rsidRPr="006F35ED" w:rsidRDefault="00E673F3" w:rsidP="00C075F6">
            <w:pPr>
              <w:keepNext/>
              <w:keepLines/>
              <w:spacing w:before="200" w:line="480" w:lineRule="auto"/>
              <w:outlineLvl w:val="5"/>
              <w:rPr>
                <w:color w:val="000000"/>
                <w:sz w:val="22"/>
                <w:lang w:val="en-US"/>
              </w:rPr>
            </w:pPr>
            <w:r w:rsidRPr="006F35ED">
              <w:rPr>
                <w:color w:val="000000"/>
                <w:sz w:val="22"/>
                <w:lang w:val="en-US"/>
              </w:rPr>
              <w:t>65.2</w:t>
            </w:r>
            <w:r w:rsidRPr="006F35ED">
              <w:rPr>
                <w:color w:val="000000"/>
                <w:sz w:val="22"/>
                <w:lang w:val="en-US"/>
              </w:rPr>
              <w:sym w:font="Symbol" w:char="F0B1"/>
            </w:r>
            <w:r w:rsidRPr="006F35ED">
              <w:rPr>
                <w:color w:val="000000"/>
                <w:sz w:val="22"/>
                <w:lang w:val="en-US"/>
              </w:rPr>
              <w:t>12.1</w:t>
            </w:r>
          </w:p>
        </w:tc>
      </w:tr>
      <w:tr w:rsidR="009C5A24" w:rsidRPr="005011B1" w14:paraId="38A6FB75" w14:textId="77777777" w:rsidTr="00C075F6">
        <w:trPr>
          <w:trHeight w:val="1259"/>
        </w:trPr>
        <w:tc>
          <w:tcPr>
            <w:tcW w:w="4253" w:type="dxa"/>
            <w:tcBorders>
              <w:top w:val="single" w:sz="4" w:space="0" w:color="7F7F7F"/>
              <w:bottom w:val="single" w:sz="4" w:space="0" w:color="7F7F7F"/>
            </w:tcBorders>
            <w:shd w:val="clear" w:color="auto" w:fill="auto"/>
          </w:tcPr>
          <w:p w14:paraId="494FE8E5" w14:textId="77777777" w:rsidR="009C5A24" w:rsidRPr="005011B1" w:rsidRDefault="00D81602" w:rsidP="00C075F6">
            <w:pPr>
              <w:spacing w:line="480" w:lineRule="auto"/>
              <w:rPr>
                <w:rFonts w:ascii="Times New Roman" w:hAnsi="Times New Roman"/>
                <w:b/>
                <w:bCs/>
                <w:color w:val="000000"/>
                <w:lang w:val="en-US"/>
              </w:rPr>
            </w:pPr>
            <w:r>
              <w:rPr>
                <w:rFonts w:ascii="Times New Roman" w:hAnsi="Times New Roman"/>
                <w:b/>
                <w:bCs/>
                <w:color w:val="000000"/>
                <w:lang w:val="en-US"/>
              </w:rPr>
              <w:t xml:space="preserve">Male </w:t>
            </w:r>
            <w:r w:rsidR="009C5A24">
              <w:rPr>
                <w:rFonts w:ascii="Times New Roman" w:hAnsi="Times New Roman"/>
                <w:b/>
                <w:bCs/>
                <w:color w:val="000000"/>
                <w:lang w:val="en-US"/>
              </w:rPr>
              <w:t>Gender</w:t>
            </w:r>
          </w:p>
        </w:tc>
        <w:tc>
          <w:tcPr>
            <w:tcW w:w="1191" w:type="dxa"/>
            <w:tcBorders>
              <w:top w:val="single" w:sz="4" w:space="0" w:color="7F7F7F"/>
              <w:bottom w:val="single" w:sz="4" w:space="0" w:color="7F7F7F"/>
            </w:tcBorders>
            <w:shd w:val="clear" w:color="auto" w:fill="auto"/>
          </w:tcPr>
          <w:p w14:paraId="19A686E4" w14:textId="77777777" w:rsidR="009C5A24" w:rsidRDefault="005E4ED1" w:rsidP="00C075F6">
            <w:pPr>
              <w:spacing w:line="480" w:lineRule="auto"/>
              <w:rPr>
                <w:color w:val="000000"/>
                <w:lang w:val="en-US"/>
              </w:rPr>
            </w:pPr>
            <w:r>
              <w:rPr>
                <w:color w:val="000000"/>
                <w:lang w:val="en-US"/>
              </w:rPr>
              <w:t>5814</w:t>
            </w:r>
          </w:p>
          <w:p w14:paraId="2491894F" w14:textId="77777777" w:rsidR="005E4ED1" w:rsidRPr="005011B1" w:rsidRDefault="005E4ED1" w:rsidP="00C075F6">
            <w:pPr>
              <w:spacing w:line="480" w:lineRule="auto"/>
              <w:rPr>
                <w:color w:val="000000"/>
                <w:lang w:val="en-US"/>
              </w:rPr>
            </w:pPr>
            <w:r>
              <w:rPr>
                <w:color w:val="000000"/>
                <w:lang w:val="en-US"/>
              </w:rPr>
              <w:t>(82.2%)</w:t>
            </w:r>
          </w:p>
        </w:tc>
        <w:tc>
          <w:tcPr>
            <w:tcW w:w="1192" w:type="dxa"/>
            <w:tcBorders>
              <w:top w:val="single" w:sz="4" w:space="0" w:color="7F7F7F"/>
              <w:bottom w:val="single" w:sz="4" w:space="0" w:color="7F7F7F"/>
            </w:tcBorders>
            <w:shd w:val="clear" w:color="auto" w:fill="auto"/>
          </w:tcPr>
          <w:p w14:paraId="7E4D632D" w14:textId="77777777" w:rsidR="009C5A24" w:rsidRDefault="005E4ED1" w:rsidP="00C075F6">
            <w:pPr>
              <w:spacing w:line="480" w:lineRule="auto"/>
              <w:rPr>
                <w:color w:val="000000"/>
                <w:lang w:val="en-US"/>
              </w:rPr>
            </w:pPr>
            <w:r>
              <w:rPr>
                <w:color w:val="000000"/>
                <w:lang w:val="en-US"/>
              </w:rPr>
              <w:t>6849</w:t>
            </w:r>
          </w:p>
          <w:p w14:paraId="79E2C07C" w14:textId="77777777" w:rsidR="005E4ED1" w:rsidRPr="005011B1" w:rsidRDefault="005E4ED1" w:rsidP="00C075F6">
            <w:pPr>
              <w:spacing w:line="480" w:lineRule="auto"/>
              <w:rPr>
                <w:color w:val="000000"/>
                <w:lang w:val="en-US"/>
              </w:rPr>
            </w:pPr>
            <w:r>
              <w:rPr>
                <w:color w:val="000000"/>
                <w:lang w:val="en-US"/>
              </w:rPr>
              <w:t>(83.4%)</w:t>
            </w:r>
          </w:p>
        </w:tc>
        <w:tc>
          <w:tcPr>
            <w:tcW w:w="1192" w:type="dxa"/>
            <w:tcBorders>
              <w:top w:val="single" w:sz="4" w:space="0" w:color="7F7F7F"/>
              <w:bottom w:val="single" w:sz="4" w:space="0" w:color="7F7F7F"/>
            </w:tcBorders>
            <w:shd w:val="clear" w:color="auto" w:fill="auto"/>
          </w:tcPr>
          <w:p w14:paraId="0AFF6117" w14:textId="77777777" w:rsidR="009C5A24" w:rsidRDefault="005E4ED1" w:rsidP="00C075F6">
            <w:pPr>
              <w:spacing w:line="480" w:lineRule="auto"/>
              <w:rPr>
                <w:color w:val="000000"/>
                <w:lang w:val="en-US"/>
              </w:rPr>
            </w:pPr>
            <w:r>
              <w:rPr>
                <w:color w:val="000000"/>
                <w:lang w:val="en-US"/>
              </w:rPr>
              <w:t>10916</w:t>
            </w:r>
          </w:p>
          <w:p w14:paraId="023C7591" w14:textId="77777777" w:rsidR="005E4ED1" w:rsidRPr="005011B1" w:rsidRDefault="005E4ED1" w:rsidP="00C075F6">
            <w:pPr>
              <w:spacing w:line="480" w:lineRule="auto"/>
              <w:rPr>
                <w:color w:val="000000"/>
                <w:lang w:val="en-US"/>
              </w:rPr>
            </w:pPr>
            <w:r>
              <w:rPr>
                <w:color w:val="000000"/>
                <w:lang w:val="en-US"/>
              </w:rPr>
              <w:t>(78.7%)</w:t>
            </w:r>
          </w:p>
        </w:tc>
        <w:tc>
          <w:tcPr>
            <w:tcW w:w="1192" w:type="dxa"/>
            <w:tcBorders>
              <w:top w:val="single" w:sz="4" w:space="0" w:color="7F7F7F"/>
              <w:bottom w:val="single" w:sz="4" w:space="0" w:color="7F7F7F"/>
            </w:tcBorders>
            <w:shd w:val="clear" w:color="auto" w:fill="auto"/>
          </w:tcPr>
          <w:p w14:paraId="6476F6B8" w14:textId="77777777" w:rsidR="009C5A24" w:rsidRDefault="005E4ED1" w:rsidP="00C075F6">
            <w:pPr>
              <w:spacing w:line="480" w:lineRule="auto"/>
              <w:rPr>
                <w:color w:val="000000"/>
                <w:lang w:val="en-US"/>
              </w:rPr>
            </w:pPr>
            <w:r>
              <w:rPr>
                <w:color w:val="000000"/>
                <w:lang w:val="en-US"/>
              </w:rPr>
              <w:t>23579</w:t>
            </w:r>
          </w:p>
          <w:p w14:paraId="42E3CFC8" w14:textId="77777777" w:rsidR="005E4ED1" w:rsidRPr="005011B1" w:rsidRDefault="005E4ED1" w:rsidP="00C075F6">
            <w:pPr>
              <w:spacing w:line="480" w:lineRule="auto"/>
              <w:rPr>
                <w:color w:val="000000"/>
                <w:lang w:val="en-US"/>
              </w:rPr>
            </w:pPr>
            <w:r>
              <w:rPr>
                <w:color w:val="000000"/>
                <w:lang w:val="en-US"/>
              </w:rPr>
              <w:t>(80.9%)</w:t>
            </w:r>
          </w:p>
        </w:tc>
      </w:tr>
      <w:tr w:rsidR="00C075F6" w:rsidRPr="005011B1" w14:paraId="7C4AE731" w14:textId="77777777" w:rsidTr="00C075F6">
        <w:trPr>
          <w:trHeight w:val="1259"/>
        </w:trPr>
        <w:tc>
          <w:tcPr>
            <w:tcW w:w="4253" w:type="dxa"/>
            <w:tcBorders>
              <w:top w:val="single" w:sz="4" w:space="0" w:color="7F7F7F"/>
              <w:bottom w:val="single" w:sz="4" w:space="0" w:color="7F7F7F"/>
            </w:tcBorders>
            <w:shd w:val="clear" w:color="auto" w:fill="auto"/>
          </w:tcPr>
          <w:p w14:paraId="79097C23" w14:textId="77777777" w:rsidR="00C075F6" w:rsidRPr="005011B1" w:rsidRDefault="00C075F6" w:rsidP="00C075F6">
            <w:pPr>
              <w:spacing w:line="480" w:lineRule="auto"/>
              <w:rPr>
                <w:rFonts w:ascii="Times New Roman" w:hAnsi="Times New Roman"/>
                <w:b/>
                <w:bCs/>
                <w:color w:val="000000"/>
                <w:lang w:val="en-US"/>
              </w:rPr>
            </w:pPr>
            <w:r w:rsidRPr="005011B1">
              <w:rPr>
                <w:rFonts w:ascii="Times New Roman" w:hAnsi="Times New Roman"/>
                <w:b/>
                <w:bCs/>
                <w:color w:val="000000"/>
                <w:lang w:val="en-US"/>
              </w:rPr>
              <w:t>Ischemic Cardiomyopathy</w:t>
            </w:r>
          </w:p>
        </w:tc>
        <w:tc>
          <w:tcPr>
            <w:tcW w:w="1191" w:type="dxa"/>
            <w:tcBorders>
              <w:top w:val="single" w:sz="4" w:space="0" w:color="7F7F7F"/>
              <w:bottom w:val="single" w:sz="4" w:space="0" w:color="7F7F7F"/>
            </w:tcBorders>
            <w:shd w:val="clear" w:color="auto" w:fill="auto"/>
          </w:tcPr>
          <w:p w14:paraId="7BEC333D" w14:textId="77777777" w:rsidR="00C075F6" w:rsidRPr="005011B1" w:rsidRDefault="00C075F6" w:rsidP="00C075F6">
            <w:pPr>
              <w:spacing w:line="480" w:lineRule="auto"/>
              <w:rPr>
                <w:color w:val="000000"/>
                <w:lang w:val="en-US"/>
              </w:rPr>
            </w:pPr>
            <w:r w:rsidRPr="005011B1">
              <w:rPr>
                <w:color w:val="000000"/>
                <w:lang w:val="en-US"/>
              </w:rPr>
              <w:t>3797 (53.7%)</w:t>
            </w:r>
          </w:p>
        </w:tc>
        <w:tc>
          <w:tcPr>
            <w:tcW w:w="1192" w:type="dxa"/>
            <w:tcBorders>
              <w:top w:val="single" w:sz="4" w:space="0" w:color="7F7F7F"/>
              <w:bottom w:val="single" w:sz="4" w:space="0" w:color="7F7F7F"/>
            </w:tcBorders>
            <w:shd w:val="clear" w:color="auto" w:fill="auto"/>
          </w:tcPr>
          <w:p w14:paraId="2F7693FC" w14:textId="77777777" w:rsidR="00C075F6" w:rsidRPr="005011B1" w:rsidRDefault="00C075F6" w:rsidP="00C075F6">
            <w:pPr>
              <w:spacing w:line="480" w:lineRule="auto"/>
              <w:rPr>
                <w:color w:val="000000"/>
                <w:lang w:val="en-US"/>
              </w:rPr>
            </w:pPr>
            <w:r w:rsidRPr="005011B1">
              <w:rPr>
                <w:color w:val="000000"/>
                <w:lang w:val="en-US"/>
              </w:rPr>
              <w:t>4447 (54.2%)</w:t>
            </w:r>
          </w:p>
        </w:tc>
        <w:tc>
          <w:tcPr>
            <w:tcW w:w="1192" w:type="dxa"/>
            <w:tcBorders>
              <w:top w:val="single" w:sz="4" w:space="0" w:color="7F7F7F"/>
              <w:bottom w:val="single" w:sz="4" w:space="0" w:color="7F7F7F"/>
            </w:tcBorders>
            <w:shd w:val="clear" w:color="auto" w:fill="auto"/>
          </w:tcPr>
          <w:p w14:paraId="731808E1" w14:textId="77777777" w:rsidR="00C075F6" w:rsidRPr="005011B1" w:rsidRDefault="00C075F6" w:rsidP="00C075F6">
            <w:pPr>
              <w:spacing w:line="480" w:lineRule="auto"/>
              <w:rPr>
                <w:color w:val="000000"/>
                <w:lang w:val="en-US"/>
              </w:rPr>
            </w:pPr>
            <w:r w:rsidRPr="005011B1">
              <w:rPr>
                <w:color w:val="000000"/>
                <w:lang w:val="en-US"/>
              </w:rPr>
              <w:t>5836 (42.1%)</w:t>
            </w:r>
          </w:p>
        </w:tc>
        <w:tc>
          <w:tcPr>
            <w:tcW w:w="1192" w:type="dxa"/>
            <w:tcBorders>
              <w:top w:val="single" w:sz="4" w:space="0" w:color="7F7F7F"/>
              <w:bottom w:val="single" w:sz="4" w:space="0" w:color="7F7F7F"/>
            </w:tcBorders>
            <w:shd w:val="clear" w:color="auto" w:fill="auto"/>
          </w:tcPr>
          <w:p w14:paraId="7C1993E0" w14:textId="77777777" w:rsidR="00C075F6" w:rsidRPr="005011B1" w:rsidRDefault="00C075F6" w:rsidP="00C075F6">
            <w:pPr>
              <w:spacing w:line="480" w:lineRule="auto"/>
              <w:rPr>
                <w:color w:val="000000"/>
                <w:lang w:val="en-US"/>
              </w:rPr>
            </w:pPr>
            <w:r w:rsidRPr="005011B1">
              <w:rPr>
                <w:color w:val="000000"/>
                <w:lang w:val="en-US"/>
              </w:rPr>
              <w:t>14080 (48.3%)</w:t>
            </w:r>
          </w:p>
        </w:tc>
      </w:tr>
      <w:tr w:rsidR="00C075F6" w:rsidRPr="005011B1" w14:paraId="123A8525" w14:textId="77777777" w:rsidTr="00C075F6">
        <w:trPr>
          <w:trHeight w:val="1259"/>
        </w:trPr>
        <w:tc>
          <w:tcPr>
            <w:tcW w:w="4253" w:type="dxa"/>
            <w:shd w:val="clear" w:color="auto" w:fill="auto"/>
          </w:tcPr>
          <w:p w14:paraId="60943584" w14:textId="77777777" w:rsidR="00C075F6" w:rsidRPr="005011B1" w:rsidRDefault="00C075F6" w:rsidP="00C075F6">
            <w:pPr>
              <w:spacing w:line="480" w:lineRule="auto"/>
              <w:rPr>
                <w:rFonts w:ascii="Times New Roman" w:hAnsi="Times New Roman"/>
                <w:b/>
                <w:bCs/>
                <w:color w:val="000000"/>
                <w:szCs w:val="23"/>
                <w:lang w:val="en-US"/>
              </w:rPr>
            </w:pPr>
            <w:r w:rsidRPr="005011B1">
              <w:rPr>
                <w:rFonts w:ascii="Times New Roman" w:hAnsi="Times New Roman"/>
                <w:b/>
                <w:bCs/>
                <w:color w:val="000000"/>
                <w:szCs w:val="23"/>
                <w:lang w:val="en-US"/>
              </w:rPr>
              <w:t>Non-Ischemic Cardiomyopathy</w:t>
            </w:r>
          </w:p>
        </w:tc>
        <w:tc>
          <w:tcPr>
            <w:tcW w:w="1191" w:type="dxa"/>
            <w:shd w:val="clear" w:color="auto" w:fill="auto"/>
          </w:tcPr>
          <w:p w14:paraId="30D5E664" w14:textId="77777777" w:rsidR="00C075F6" w:rsidRPr="005011B1" w:rsidRDefault="00C075F6" w:rsidP="00C075F6">
            <w:pPr>
              <w:spacing w:line="480" w:lineRule="auto"/>
              <w:rPr>
                <w:color w:val="000000"/>
                <w:lang w:val="en-US"/>
              </w:rPr>
            </w:pPr>
            <w:r w:rsidRPr="005011B1">
              <w:rPr>
                <w:color w:val="000000"/>
                <w:lang w:val="en-US"/>
              </w:rPr>
              <w:t>2157 (30.5%)</w:t>
            </w:r>
          </w:p>
        </w:tc>
        <w:tc>
          <w:tcPr>
            <w:tcW w:w="1192" w:type="dxa"/>
            <w:shd w:val="clear" w:color="auto" w:fill="auto"/>
          </w:tcPr>
          <w:p w14:paraId="18F45137" w14:textId="77777777" w:rsidR="00C075F6" w:rsidRPr="005011B1" w:rsidRDefault="00C075F6" w:rsidP="00C075F6">
            <w:pPr>
              <w:spacing w:line="480" w:lineRule="auto"/>
              <w:rPr>
                <w:color w:val="000000"/>
                <w:lang w:val="en-US"/>
              </w:rPr>
            </w:pPr>
            <w:r w:rsidRPr="005011B1">
              <w:rPr>
                <w:color w:val="000000"/>
                <w:lang w:val="en-US"/>
              </w:rPr>
              <w:t>2612 (31.8%)</w:t>
            </w:r>
          </w:p>
        </w:tc>
        <w:tc>
          <w:tcPr>
            <w:tcW w:w="1192" w:type="dxa"/>
            <w:shd w:val="clear" w:color="auto" w:fill="auto"/>
          </w:tcPr>
          <w:p w14:paraId="6FDC5803" w14:textId="77777777" w:rsidR="00C075F6" w:rsidRPr="005011B1" w:rsidRDefault="00C075F6" w:rsidP="00C075F6">
            <w:pPr>
              <w:spacing w:line="480" w:lineRule="auto"/>
              <w:rPr>
                <w:color w:val="000000"/>
                <w:lang w:val="en-US"/>
              </w:rPr>
            </w:pPr>
            <w:r w:rsidRPr="005011B1">
              <w:rPr>
                <w:color w:val="000000"/>
                <w:lang w:val="en-US"/>
              </w:rPr>
              <w:t>7393 (53.3%)</w:t>
            </w:r>
          </w:p>
        </w:tc>
        <w:tc>
          <w:tcPr>
            <w:tcW w:w="1192" w:type="dxa"/>
            <w:shd w:val="clear" w:color="auto" w:fill="auto"/>
          </w:tcPr>
          <w:p w14:paraId="73294B4C" w14:textId="77777777" w:rsidR="00C075F6" w:rsidRPr="005011B1" w:rsidRDefault="00C075F6" w:rsidP="00C075F6">
            <w:pPr>
              <w:spacing w:line="480" w:lineRule="auto"/>
              <w:rPr>
                <w:color w:val="000000"/>
                <w:lang w:val="en-US"/>
              </w:rPr>
            </w:pPr>
            <w:r w:rsidRPr="005011B1">
              <w:rPr>
                <w:color w:val="000000"/>
                <w:lang w:val="en-US"/>
              </w:rPr>
              <w:t>12162 (41.7%)</w:t>
            </w:r>
          </w:p>
        </w:tc>
      </w:tr>
      <w:tr w:rsidR="00C075F6" w:rsidRPr="005011B1" w14:paraId="07D2FB14" w14:textId="77777777" w:rsidTr="00C075F6">
        <w:trPr>
          <w:trHeight w:val="1259"/>
        </w:trPr>
        <w:tc>
          <w:tcPr>
            <w:tcW w:w="4253" w:type="dxa"/>
            <w:tcBorders>
              <w:top w:val="single" w:sz="4" w:space="0" w:color="7F7F7F"/>
              <w:bottom w:val="single" w:sz="4" w:space="0" w:color="7F7F7F"/>
            </w:tcBorders>
            <w:shd w:val="clear" w:color="auto" w:fill="auto"/>
          </w:tcPr>
          <w:p w14:paraId="6A128A85" w14:textId="77777777" w:rsidR="00C075F6" w:rsidRPr="005011B1" w:rsidRDefault="00C075F6" w:rsidP="00C075F6">
            <w:pPr>
              <w:spacing w:line="480" w:lineRule="auto"/>
              <w:rPr>
                <w:rFonts w:ascii="Times New Roman" w:hAnsi="Times New Roman"/>
                <w:b/>
                <w:bCs/>
                <w:color w:val="000000"/>
                <w:lang w:val="en-US"/>
              </w:rPr>
            </w:pPr>
            <w:r w:rsidRPr="005011B1">
              <w:rPr>
                <w:rFonts w:ascii="Times New Roman" w:hAnsi="Times New Roman"/>
                <w:b/>
                <w:bCs/>
                <w:color w:val="000000"/>
                <w:lang w:val="en-US"/>
              </w:rPr>
              <w:t>Hypertrophic Cardiomyopathy</w:t>
            </w:r>
          </w:p>
        </w:tc>
        <w:tc>
          <w:tcPr>
            <w:tcW w:w="1191" w:type="dxa"/>
            <w:tcBorders>
              <w:top w:val="single" w:sz="4" w:space="0" w:color="7F7F7F"/>
              <w:bottom w:val="single" w:sz="4" w:space="0" w:color="7F7F7F"/>
            </w:tcBorders>
            <w:shd w:val="clear" w:color="auto" w:fill="auto"/>
          </w:tcPr>
          <w:p w14:paraId="6459055A" w14:textId="77777777" w:rsidR="00C075F6" w:rsidRPr="005011B1" w:rsidRDefault="00C075F6" w:rsidP="00C075F6">
            <w:pPr>
              <w:spacing w:line="480" w:lineRule="auto"/>
              <w:rPr>
                <w:color w:val="000000"/>
                <w:lang w:val="en-US"/>
              </w:rPr>
            </w:pPr>
            <w:r w:rsidRPr="005011B1">
              <w:rPr>
                <w:color w:val="000000"/>
                <w:lang w:val="en-US"/>
              </w:rPr>
              <w:t>185 (2.6%)</w:t>
            </w:r>
          </w:p>
        </w:tc>
        <w:tc>
          <w:tcPr>
            <w:tcW w:w="1192" w:type="dxa"/>
            <w:tcBorders>
              <w:top w:val="single" w:sz="4" w:space="0" w:color="7F7F7F"/>
              <w:bottom w:val="single" w:sz="4" w:space="0" w:color="7F7F7F"/>
            </w:tcBorders>
            <w:shd w:val="clear" w:color="auto" w:fill="auto"/>
          </w:tcPr>
          <w:p w14:paraId="462F4342" w14:textId="77777777" w:rsidR="00C075F6" w:rsidRPr="005011B1" w:rsidRDefault="00C075F6" w:rsidP="00C075F6">
            <w:pPr>
              <w:spacing w:line="480" w:lineRule="auto"/>
              <w:rPr>
                <w:color w:val="000000"/>
                <w:lang w:val="en-US"/>
              </w:rPr>
            </w:pPr>
            <w:r w:rsidRPr="005011B1">
              <w:rPr>
                <w:color w:val="000000"/>
                <w:lang w:val="en-US"/>
              </w:rPr>
              <w:t>296 (3.6%)</w:t>
            </w:r>
          </w:p>
        </w:tc>
        <w:tc>
          <w:tcPr>
            <w:tcW w:w="1192" w:type="dxa"/>
            <w:tcBorders>
              <w:top w:val="single" w:sz="4" w:space="0" w:color="7F7F7F"/>
              <w:bottom w:val="single" w:sz="4" w:space="0" w:color="7F7F7F"/>
            </w:tcBorders>
            <w:shd w:val="clear" w:color="auto" w:fill="auto"/>
          </w:tcPr>
          <w:p w14:paraId="1E341498" w14:textId="77777777" w:rsidR="00C075F6" w:rsidRPr="005011B1" w:rsidRDefault="00C075F6" w:rsidP="00C075F6">
            <w:pPr>
              <w:spacing w:line="480" w:lineRule="auto"/>
              <w:rPr>
                <w:color w:val="000000"/>
                <w:lang w:val="en-US"/>
              </w:rPr>
            </w:pPr>
            <w:r w:rsidRPr="005011B1">
              <w:rPr>
                <w:color w:val="000000"/>
                <w:lang w:val="en-US"/>
              </w:rPr>
              <w:t xml:space="preserve">80 </w:t>
            </w:r>
          </w:p>
          <w:p w14:paraId="4F06C7FC" w14:textId="77777777" w:rsidR="00C075F6" w:rsidRPr="005011B1" w:rsidRDefault="00C075F6" w:rsidP="00C075F6">
            <w:pPr>
              <w:spacing w:line="480" w:lineRule="auto"/>
              <w:rPr>
                <w:color w:val="000000"/>
                <w:lang w:val="en-US"/>
              </w:rPr>
            </w:pPr>
            <w:r w:rsidRPr="005011B1">
              <w:rPr>
                <w:color w:val="000000"/>
                <w:lang w:val="en-US"/>
              </w:rPr>
              <w:t>(0.6%)</w:t>
            </w:r>
          </w:p>
        </w:tc>
        <w:tc>
          <w:tcPr>
            <w:tcW w:w="1192" w:type="dxa"/>
            <w:tcBorders>
              <w:top w:val="single" w:sz="4" w:space="0" w:color="7F7F7F"/>
              <w:bottom w:val="single" w:sz="4" w:space="0" w:color="7F7F7F"/>
            </w:tcBorders>
            <w:shd w:val="clear" w:color="auto" w:fill="auto"/>
          </w:tcPr>
          <w:p w14:paraId="5232F44C" w14:textId="77777777" w:rsidR="00C075F6" w:rsidRPr="005011B1" w:rsidRDefault="00C075F6" w:rsidP="00C075F6">
            <w:pPr>
              <w:spacing w:line="480" w:lineRule="auto"/>
              <w:rPr>
                <w:color w:val="000000"/>
                <w:lang w:val="en-US"/>
              </w:rPr>
            </w:pPr>
            <w:r w:rsidRPr="005011B1">
              <w:rPr>
                <w:color w:val="000000"/>
                <w:lang w:val="en-US"/>
              </w:rPr>
              <w:t>561 (1.9%)</w:t>
            </w:r>
          </w:p>
        </w:tc>
      </w:tr>
      <w:tr w:rsidR="00C075F6" w:rsidRPr="005011B1" w14:paraId="559D0515" w14:textId="77777777" w:rsidTr="00C075F6">
        <w:trPr>
          <w:trHeight w:val="1259"/>
        </w:trPr>
        <w:tc>
          <w:tcPr>
            <w:tcW w:w="4253" w:type="dxa"/>
            <w:shd w:val="clear" w:color="auto" w:fill="auto"/>
          </w:tcPr>
          <w:p w14:paraId="38C843C2" w14:textId="77777777" w:rsidR="00423643" w:rsidRDefault="00C075F6" w:rsidP="00C075F6">
            <w:pPr>
              <w:spacing w:line="480" w:lineRule="auto"/>
              <w:rPr>
                <w:rFonts w:ascii="Times New Roman" w:hAnsi="Times New Roman"/>
                <w:b/>
                <w:bCs/>
                <w:color w:val="000000"/>
                <w:szCs w:val="22"/>
                <w:lang w:val="en-US"/>
              </w:rPr>
            </w:pPr>
            <w:r w:rsidRPr="005011B1">
              <w:rPr>
                <w:rFonts w:ascii="Times New Roman" w:hAnsi="Times New Roman"/>
                <w:b/>
                <w:bCs/>
                <w:color w:val="000000"/>
                <w:szCs w:val="22"/>
                <w:lang w:val="en-US"/>
              </w:rPr>
              <w:t>Arrhythmogenic Ventricular</w:t>
            </w:r>
          </w:p>
          <w:p w14:paraId="43F6DE38" w14:textId="6AE5AE26" w:rsidR="00C075F6" w:rsidRPr="008B0BC5" w:rsidRDefault="00C075F6" w:rsidP="00C075F6">
            <w:pPr>
              <w:spacing w:line="480" w:lineRule="auto"/>
              <w:rPr>
                <w:rFonts w:ascii="Times New Roman" w:hAnsi="Times New Roman"/>
                <w:b/>
                <w:bCs/>
                <w:color w:val="000000"/>
                <w:szCs w:val="22"/>
                <w:lang w:val="en-US"/>
              </w:rPr>
            </w:pPr>
            <w:r w:rsidRPr="005011B1">
              <w:rPr>
                <w:rFonts w:ascii="Times New Roman" w:hAnsi="Times New Roman"/>
                <w:b/>
                <w:bCs/>
                <w:color w:val="000000"/>
                <w:szCs w:val="22"/>
                <w:lang w:val="en-US"/>
              </w:rPr>
              <w:t>Cardiom</w:t>
            </w:r>
            <w:r w:rsidR="00423643">
              <w:rPr>
                <w:rFonts w:ascii="Times New Roman" w:hAnsi="Times New Roman"/>
                <w:b/>
                <w:bCs/>
                <w:color w:val="000000"/>
                <w:szCs w:val="22"/>
                <w:lang w:val="en-US"/>
              </w:rPr>
              <w:t>yop</w:t>
            </w:r>
            <w:r w:rsidR="008B0BC5">
              <w:rPr>
                <w:rFonts w:ascii="Times New Roman" w:hAnsi="Times New Roman"/>
                <w:b/>
                <w:bCs/>
                <w:color w:val="000000"/>
                <w:szCs w:val="22"/>
                <w:lang w:val="en-US"/>
              </w:rPr>
              <w:t>athy</w:t>
            </w:r>
            <w:r w:rsidRPr="005011B1">
              <w:rPr>
                <w:rFonts w:ascii="Times New Roman" w:hAnsi="Times New Roman"/>
                <w:b/>
                <w:bCs/>
                <w:color w:val="000000"/>
                <w:szCs w:val="22"/>
                <w:lang w:val="en-US"/>
              </w:rPr>
              <w:t>.</w:t>
            </w:r>
          </w:p>
        </w:tc>
        <w:tc>
          <w:tcPr>
            <w:tcW w:w="1191" w:type="dxa"/>
            <w:shd w:val="clear" w:color="auto" w:fill="auto"/>
          </w:tcPr>
          <w:p w14:paraId="70B7EDC5" w14:textId="77777777" w:rsidR="00C075F6" w:rsidRPr="005011B1" w:rsidRDefault="00C075F6" w:rsidP="00C075F6">
            <w:pPr>
              <w:spacing w:line="480" w:lineRule="auto"/>
              <w:rPr>
                <w:color w:val="000000"/>
                <w:lang w:val="en-US"/>
              </w:rPr>
            </w:pPr>
            <w:r w:rsidRPr="005011B1">
              <w:rPr>
                <w:color w:val="000000"/>
                <w:lang w:val="en-US"/>
              </w:rPr>
              <w:t>125 (1.8%)</w:t>
            </w:r>
          </w:p>
        </w:tc>
        <w:tc>
          <w:tcPr>
            <w:tcW w:w="1192" w:type="dxa"/>
            <w:shd w:val="clear" w:color="auto" w:fill="auto"/>
          </w:tcPr>
          <w:p w14:paraId="5B29A031" w14:textId="77777777" w:rsidR="00C075F6" w:rsidRPr="005011B1" w:rsidRDefault="00C075F6" w:rsidP="00C075F6">
            <w:pPr>
              <w:spacing w:line="480" w:lineRule="auto"/>
              <w:rPr>
                <w:color w:val="000000"/>
                <w:lang w:val="en-US"/>
              </w:rPr>
            </w:pPr>
            <w:r w:rsidRPr="005011B1">
              <w:rPr>
                <w:color w:val="000000"/>
                <w:lang w:val="en-US"/>
              </w:rPr>
              <w:t>118 (1.4%)</w:t>
            </w:r>
          </w:p>
        </w:tc>
        <w:tc>
          <w:tcPr>
            <w:tcW w:w="1192" w:type="dxa"/>
            <w:shd w:val="clear" w:color="auto" w:fill="auto"/>
          </w:tcPr>
          <w:p w14:paraId="66F35AEE" w14:textId="77777777" w:rsidR="00C075F6" w:rsidRPr="005011B1" w:rsidRDefault="00C075F6" w:rsidP="00C075F6">
            <w:pPr>
              <w:spacing w:line="480" w:lineRule="auto"/>
              <w:rPr>
                <w:color w:val="000000"/>
                <w:lang w:val="en-US"/>
              </w:rPr>
            </w:pPr>
            <w:r w:rsidRPr="005011B1">
              <w:rPr>
                <w:color w:val="000000"/>
                <w:lang w:val="en-US"/>
              </w:rPr>
              <w:t>30</w:t>
            </w:r>
            <w:proofErr w:type="gramStart"/>
            <w:r w:rsidRPr="005011B1">
              <w:rPr>
                <w:color w:val="000000"/>
                <w:lang w:val="en-US"/>
              </w:rPr>
              <w:t xml:space="preserve">   (</w:t>
            </w:r>
            <w:proofErr w:type="gramEnd"/>
            <w:r w:rsidRPr="005011B1">
              <w:rPr>
                <w:color w:val="000000"/>
                <w:lang w:val="en-US"/>
              </w:rPr>
              <w:t>0.2%)</w:t>
            </w:r>
          </w:p>
        </w:tc>
        <w:tc>
          <w:tcPr>
            <w:tcW w:w="1192" w:type="dxa"/>
            <w:shd w:val="clear" w:color="auto" w:fill="auto"/>
          </w:tcPr>
          <w:p w14:paraId="20F44237" w14:textId="77777777" w:rsidR="00C075F6" w:rsidRPr="005011B1" w:rsidRDefault="00C075F6" w:rsidP="00C075F6">
            <w:pPr>
              <w:spacing w:line="480" w:lineRule="auto"/>
              <w:rPr>
                <w:color w:val="000000"/>
                <w:lang w:val="en-US"/>
              </w:rPr>
            </w:pPr>
            <w:r w:rsidRPr="005011B1">
              <w:rPr>
                <w:color w:val="000000"/>
                <w:lang w:val="en-US"/>
              </w:rPr>
              <w:t>273 (0.9%)</w:t>
            </w:r>
          </w:p>
        </w:tc>
      </w:tr>
      <w:tr w:rsidR="00C075F6" w:rsidRPr="005011B1" w14:paraId="04F6CB80" w14:textId="77777777" w:rsidTr="00C075F6">
        <w:trPr>
          <w:trHeight w:val="1259"/>
        </w:trPr>
        <w:tc>
          <w:tcPr>
            <w:tcW w:w="4253" w:type="dxa"/>
            <w:tcBorders>
              <w:top w:val="single" w:sz="4" w:space="0" w:color="7F7F7F"/>
              <w:bottom w:val="single" w:sz="4" w:space="0" w:color="7F7F7F"/>
            </w:tcBorders>
            <w:shd w:val="clear" w:color="auto" w:fill="auto"/>
          </w:tcPr>
          <w:p w14:paraId="03D8CCF3" w14:textId="77777777" w:rsidR="00C075F6" w:rsidRPr="005011B1" w:rsidRDefault="00C075F6" w:rsidP="00C075F6">
            <w:pPr>
              <w:spacing w:line="480" w:lineRule="auto"/>
              <w:rPr>
                <w:rFonts w:ascii="Times New Roman" w:hAnsi="Times New Roman"/>
                <w:b/>
                <w:bCs/>
                <w:color w:val="000000"/>
                <w:lang w:val="en-US"/>
              </w:rPr>
            </w:pPr>
            <w:r w:rsidRPr="005011B1">
              <w:rPr>
                <w:rFonts w:ascii="Times New Roman" w:hAnsi="Times New Roman"/>
                <w:b/>
                <w:bCs/>
                <w:color w:val="000000"/>
                <w:lang w:val="en-US"/>
              </w:rPr>
              <w:t>Other Cardiomyopathies</w:t>
            </w:r>
          </w:p>
        </w:tc>
        <w:tc>
          <w:tcPr>
            <w:tcW w:w="1191" w:type="dxa"/>
            <w:tcBorders>
              <w:top w:val="single" w:sz="4" w:space="0" w:color="7F7F7F"/>
              <w:bottom w:val="single" w:sz="4" w:space="0" w:color="7F7F7F"/>
            </w:tcBorders>
            <w:shd w:val="clear" w:color="auto" w:fill="auto"/>
          </w:tcPr>
          <w:p w14:paraId="2F3B4358" w14:textId="77777777" w:rsidR="00C075F6" w:rsidRPr="005011B1" w:rsidRDefault="00C075F6" w:rsidP="00C075F6">
            <w:pPr>
              <w:spacing w:line="480" w:lineRule="auto"/>
              <w:rPr>
                <w:color w:val="000000"/>
                <w:lang w:val="en-US"/>
              </w:rPr>
            </w:pPr>
            <w:r w:rsidRPr="005011B1">
              <w:rPr>
                <w:color w:val="000000"/>
                <w:lang w:val="en-US"/>
              </w:rPr>
              <w:t>241 (3.4%)</w:t>
            </w:r>
          </w:p>
        </w:tc>
        <w:tc>
          <w:tcPr>
            <w:tcW w:w="1192" w:type="dxa"/>
            <w:tcBorders>
              <w:top w:val="single" w:sz="4" w:space="0" w:color="7F7F7F"/>
              <w:bottom w:val="single" w:sz="4" w:space="0" w:color="7F7F7F"/>
            </w:tcBorders>
            <w:shd w:val="clear" w:color="auto" w:fill="auto"/>
          </w:tcPr>
          <w:p w14:paraId="0F93623C" w14:textId="77777777" w:rsidR="00C075F6" w:rsidRPr="005011B1" w:rsidRDefault="00C075F6" w:rsidP="00C075F6">
            <w:pPr>
              <w:spacing w:line="480" w:lineRule="auto"/>
              <w:rPr>
                <w:color w:val="000000"/>
                <w:lang w:val="en-US"/>
              </w:rPr>
            </w:pPr>
            <w:r w:rsidRPr="005011B1">
              <w:rPr>
                <w:color w:val="000000"/>
                <w:lang w:val="en-US"/>
              </w:rPr>
              <w:t>304 (3.7%)</w:t>
            </w:r>
          </w:p>
        </w:tc>
        <w:tc>
          <w:tcPr>
            <w:tcW w:w="1192" w:type="dxa"/>
            <w:tcBorders>
              <w:top w:val="single" w:sz="4" w:space="0" w:color="7F7F7F"/>
              <w:bottom w:val="single" w:sz="4" w:space="0" w:color="7F7F7F"/>
            </w:tcBorders>
            <w:shd w:val="clear" w:color="auto" w:fill="auto"/>
          </w:tcPr>
          <w:p w14:paraId="242C546A" w14:textId="77777777" w:rsidR="00C075F6" w:rsidRPr="005011B1" w:rsidRDefault="00C075F6" w:rsidP="00C075F6">
            <w:pPr>
              <w:spacing w:line="480" w:lineRule="auto"/>
              <w:rPr>
                <w:color w:val="000000"/>
                <w:lang w:val="en-US"/>
              </w:rPr>
            </w:pPr>
            <w:r w:rsidRPr="005011B1">
              <w:rPr>
                <w:color w:val="000000"/>
                <w:lang w:val="en-US"/>
              </w:rPr>
              <w:t>284 (2.0%)</w:t>
            </w:r>
          </w:p>
        </w:tc>
        <w:tc>
          <w:tcPr>
            <w:tcW w:w="1192" w:type="dxa"/>
            <w:tcBorders>
              <w:top w:val="single" w:sz="4" w:space="0" w:color="7F7F7F"/>
              <w:bottom w:val="single" w:sz="4" w:space="0" w:color="7F7F7F"/>
            </w:tcBorders>
            <w:shd w:val="clear" w:color="auto" w:fill="auto"/>
          </w:tcPr>
          <w:p w14:paraId="53AF3E53" w14:textId="77777777" w:rsidR="00C075F6" w:rsidRPr="005011B1" w:rsidRDefault="00C075F6" w:rsidP="00C075F6">
            <w:pPr>
              <w:spacing w:line="480" w:lineRule="auto"/>
              <w:rPr>
                <w:color w:val="000000"/>
                <w:lang w:val="en-US"/>
              </w:rPr>
            </w:pPr>
            <w:r w:rsidRPr="005011B1">
              <w:rPr>
                <w:color w:val="000000"/>
                <w:lang w:val="en-US"/>
              </w:rPr>
              <w:t>829 (2.8%)</w:t>
            </w:r>
          </w:p>
        </w:tc>
      </w:tr>
      <w:tr w:rsidR="00C075F6" w:rsidRPr="005011B1" w14:paraId="4F04AEC8" w14:textId="77777777" w:rsidTr="00C075F6">
        <w:trPr>
          <w:trHeight w:val="1259"/>
        </w:trPr>
        <w:tc>
          <w:tcPr>
            <w:tcW w:w="4253" w:type="dxa"/>
            <w:shd w:val="clear" w:color="auto" w:fill="auto"/>
          </w:tcPr>
          <w:p w14:paraId="0AE99CB5" w14:textId="77777777" w:rsidR="00C075F6" w:rsidRPr="005011B1" w:rsidRDefault="00C075F6" w:rsidP="00C075F6">
            <w:pPr>
              <w:spacing w:line="480" w:lineRule="auto"/>
              <w:rPr>
                <w:rFonts w:ascii="Times New Roman" w:hAnsi="Times New Roman"/>
                <w:b/>
                <w:bCs/>
                <w:color w:val="000000"/>
                <w:lang w:val="en-US"/>
              </w:rPr>
            </w:pPr>
            <w:r w:rsidRPr="005011B1">
              <w:rPr>
                <w:rFonts w:ascii="Times New Roman" w:hAnsi="Times New Roman"/>
                <w:b/>
                <w:bCs/>
                <w:color w:val="000000"/>
                <w:lang w:val="en-US"/>
              </w:rPr>
              <w:t xml:space="preserve">Valvular Heart Disease </w:t>
            </w:r>
          </w:p>
        </w:tc>
        <w:tc>
          <w:tcPr>
            <w:tcW w:w="1191" w:type="dxa"/>
            <w:shd w:val="clear" w:color="auto" w:fill="auto"/>
          </w:tcPr>
          <w:p w14:paraId="3F2D8FDD" w14:textId="77777777" w:rsidR="00C075F6" w:rsidRPr="005011B1" w:rsidRDefault="00C075F6" w:rsidP="00C075F6">
            <w:pPr>
              <w:spacing w:line="480" w:lineRule="auto"/>
              <w:rPr>
                <w:color w:val="000000"/>
                <w:lang w:val="en-US"/>
              </w:rPr>
            </w:pPr>
            <w:r w:rsidRPr="005011B1">
              <w:rPr>
                <w:color w:val="000000"/>
                <w:lang w:val="en-US"/>
              </w:rPr>
              <w:t>114 (1.6%)</w:t>
            </w:r>
          </w:p>
        </w:tc>
        <w:tc>
          <w:tcPr>
            <w:tcW w:w="1192" w:type="dxa"/>
            <w:shd w:val="clear" w:color="auto" w:fill="auto"/>
          </w:tcPr>
          <w:p w14:paraId="51F4EF65" w14:textId="77777777" w:rsidR="00C075F6" w:rsidRPr="005011B1" w:rsidRDefault="00C075F6" w:rsidP="00C075F6">
            <w:pPr>
              <w:spacing w:line="480" w:lineRule="auto"/>
              <w:rPr>
                <w:color w:val="000000"/>
                <w:lang w:val="en-US"/>
              </w:rPr>
            </w:pPr>
            <w:r w:rsidRPr="005011B1">
              <w:rPr>
                <w:color w:val="000000"/>
                <w:lang w:val="en-US"/>
              </w:rPr>
              <w:t>121 (1.5%)</w:t>
            </w:r>
          </w:p>
        </w:tc>
        <w:tc>
          <w:tcPr>
            <w:tcW w:w="1192" w:type="dxa"/>
            <w:shd w:val="clear" w:color="auto" w:fill="auto"/>
          </w:tcPr>
          <w:p w14:paraId="3C90D4ED" w14:textId="77777777" w:rsidR="00C075F6" w:rsidRPr="005011B1" w:rsidRDefault="00C075F6" w:rsidP="00C075F6">
            <w:pPr>
              <w:spacing w:line="480" w:lineRule="auto"/>
              <w:rPr>
                <w:color w:val="000000"/>
                <w:lang w:val="en-US"/>
              </w:rPr>
            </w:pPr>
            <w:r w:rsidRPr="005011B1">
              <w:rPr>
                <w:color w:val="000000"/>
                <w:lang w:val="en-US"/>
              </w:rPr>
              <w:t>249 (1.8%)</w:t>
            </w:r>
          </w:p>
        </w:tc>
        <w:tc>
          <w:tcPr>
            <w:tcW w:w="1192" w:type="dxa"/>
            <w:shd w:val="clear" w:color="auto" w:fill="auto"/>
          </w:tcPr>
          <w:p w14:paraId="1B455CC5" w14:textId="77777777" w:rsidR="00C075F6" w:rsidRPr="005011B1" w:rsidRDefault="00C075F6" w:rsidP="00C075F6">
            <w:pPr>
              <w:spacing w:line="480" w:lineRule="auto"/>
              <w:rPr>
                <w:color w:val="000000"/>
                <w:lang w:val="en-US"/>
              </w:rPr>
            </w:pPr>
            <w:r w:rsidRPr="005011B1">
              <w:rPr>
                <w:color w:val="000000"/>
                <w:lang w:val="en-US"/>
              </w:rPr>
              <w:t>484 (1.7%)</w:t>
            </w:r>
          </w:p>
        </w:tc>
      </w:tr>
      <w:tr w:rsidR="00C075F6" w:rsidRPr="005011B1" w14:paraId="6B11A6D5" w14:textId="77777777" w:rsidTr="00C075F6">
        <w:trPr>
          <w:trHeight w:val="1259"/>
        </w:trPr>
        <w:tc>
          <w:tcPr>
            <w:tcW w:w="4253" w:type="dxa"/>
            <w:tcBorders>
              <w:top w:val="single" w:sz="4" w:space="0" w:color="7F7F7F"/>
              <w:bottom w:val="single" w:sz="4" w:space="0" w:color="7F7F7F"/>
            </w:tcBorders>
            <w:shd w:val="clear" w:color="auto" w:fill="auto"/>
          </w:tcPr>
          <w:p w14:paraId="01B217DC" w14:textId="77777777" w:rsidR="00C075F6" w:rsidRPr="005011B1" w:rsidRDefault="00C075F6" w:rsidP="00C075F6">
            <w:pPr>
              <w:spacing w:line="480" w:lineRule="auto"/>
              <w:rPr>
                <w:rFonts w:ascii="Times New Roman" w:hAnsi="Times New Roman"/>
                <w:b/>
                <w:bCs/>
                <w:color w:val="000000"/>
                <w:lang w:val="en-US"/>
              </w:rPr>
            </w:pPr>
            <w:r w:rsidRPr="005011B1">
              <w:rPr>
                <w:rFonts w:ascii="Times New Roman" w:hAnsi="Times New Roman"/>
                <w:b/>
                <w:bCs/>
                <w:color w:val="000000"/>
                <w:lang w:val="en-US"/>
              </w:rPr>
              <w:lastRenderedPageBreak/>
              <w:t>Long QT Syndrome</w:t>
            </w:r>
          </w:p>
        </w:tc>
        <w:tc>
          <w:tcPr>
            <w:tcW w:w="1191" w:type="dxa"/>
            <w:tcBorders>
              <w:top w:val="single" w:sz="4" w:space="0" w:color="7F7F7F"/>
              <w:bottom w:val="single" w:sz="4" w:space="0" w:color="7F7F7F"/>
            </w:tcBorders>
            <w:shd w:val="clear" w:color="auto" w:fill="auto"/>
          </w:tcPr>
          <w:p w14:paraId="284A074C" w14:textId="77777777" w:rsidR="00C075F6" w:rsidRPr="005011B1" w:rsidRDefault="00C075F6" w:rsidP="00C075F6">
            <w:pPr>
              <w:spacing w:line="480" w:lineRule="auto"/>
              <w:rPr>
                <w:color w:val="000000"/>
                <w:lang w:val="en-US"/>
              </w:rPr>
            </w:pPr>
            <w:r w:rsidRPr="005011B1">
              <w:rPr>
                <w:color w:val="000000"/>
                <w:lang w:val="en-US"/>
              </w:rPr>
              <w:t>60</w:t>
            </w:r>
            <w:proofErr w:type="gramStart"/>
            <w:r w:rsidRPr="005011B1">
              <w:rPr>
                <w:color w:val="000000"/>
                <w:lang w:val="en-US"/>
              </w:rPr>
              <w:t xml:space="preserve">   (</w:t>
            </w:r>
            <w:proofErr w:type="gramEnd"/>
            <w:r w:rsidRPr="005011B1">
              <w:rPr>
                <w:color w:val="000000"/>
                <w:lang w:val="en-US"/>
              </w:rPr>
              <w:t>0.8%)</w:t>
            </w:r>
          </w:p>
        </w:tc>
        <w:tc>
          <w:tcPr>
            <w:tcW w:w="1192" w:type="dxa"/>
            <w:tcBorders>
              <w:top w:val="single" w:sz="4" w:space="0" w:color="7F7F7F"/>
              <w:bottom w:val="single" w:sz="4" w:space="0" w:color="7F7F7F"/>
            </w:tcBorders>
            <w:shd w:val="clear" w:color="auto" w:fill="auto"/>
          </w:tcPr>
          <w:p w14:paraId="3B06C72D" w14:textId="77777777" w:rsidR="00C075F6" w:rsidRPr="005011B1" w:rsidRDefault="00C075F6" w:rsidP="00C075F6">
            <w:pPr>
              <w:spacing w:line="480" w:lineRule="auto"/>
              <w:rPr>
                <w:color w:val="000000"/>
                <w:lang w:val="en-US"/>
              </w:rPr>
            </w:pPr>
            <w:r w:rsidRPr="005011B1">
              <w:rPr>
                <w:color w:val="000000"/>
                <w:lang w:val="en-US"/>
              </w:rPr>
              <w:t>74</w:t>
            </w:r>
            <w:proofErr w:type="gramStart"/>
            <w:r w:rsidRPr="005011B1">
              <w:rPr>
                <w:color w:val="000000"/>
                <w:lang w:val="en-US"/>
              </w:rPr>
              <w:t xml:space="preserve">   (</w:t>
            </w:r>
            <w:proofErr w:type="gramEnd"/>
            <w:r w:rsidRPr="005011B1">
              <w:rPr>
                <w:color w:val="000000"/>
                <w:lang w:val="en-US"/>
              </w:rPr>
              <w:t>0.9%)</w:t>
            </w:r>
          </w:p>
        </w:tc>
        <w:tc>
          <w:tcPr>
            <w:tcW w:w="1192" w:type="dxa"/>
            <w:tcBorders>
              <w:top w:val="single" w:sz="4" w:space="0" w:color="7F7F7F"/>
              <w:bottom w:val="single" w:sz="4" w:space="0" w:color="7F7F7F"/>
            </w:tcBorders>
            <w:shd w:val="clear" w:color="auto" w:fill="auto"/>
          </w:tcPr>
          <w:p w14:paraId="0E13EEA7" w14:textId="77777777" w:rsidR="00C075F6" w:rsidRPr="005011B1" w:rsidRDefault="00C075F6" w:rsidP="00C075F6">
            <w:pPr>
              <w:spacing w:line="480" w:lineRule="auto"/>
              <w:rPr>
                <w:color w:val="000000"/>
                <w:lang w:val="en-US"/>
              </w:rPr>
            </w:pPr>
            <w:r w:rsidRPr="005011B1">
              <w:rPr>
                <w:color w:val="000000"/>
                <w:lang w:val="en-US"/>
              </w:rPr>
              <w:t xml:space="preserve">0  </w:t>
            </w:r>
            <w:proofErr w:type="gramStart"/>
            <w:r w:rsidRPr="005011B1">
              <w:rPr>
                <w:color w:val="000000"/>
                <w:lang w:val="en-US"/>
              </w:rPr>
              <w:t xml:space="preserve">   (</w:t>
            </w:r>
            <w:proofErr w:type="gramEnd"/>
            <w:r w:rsidRPr="005011B1">
              <w:rPr>
                <w:color w:val="000000"/>
                <w:lang w:val="en-US"/>
              </w:rPr>
              <w:t>0.0%)</w:t>
            </w:r>
          </w:p>
        </w:tc>
        <w:tc>
          <w:tcPr>
            <w:tcW w:w="1192" w:type="dxa"/>
            <w:tcBorders>
              <w:top w:val="single" w:sz="4" w:space="0" w:color="7F7F7F"/>
              <w:bottom w:val="single" w:sz="4" w:space="0" w:color="7F7F7F"/>
            </w:tcBorders>
            <w:shd w:val="clear" w:color="auto" w:fill="auto"/>
          </w:tcPr>
          <w:p w14:paraId="2DB74653" w14:textId="77777777" w:rsidR="00C075F6" w:rsidRPr="005011B1" w:rsidRDefault="00C075F6" w:rsidP="00C075F6">
            <w:pPr>
              <w:spacing w:line="480" w:lineRule="auto"/>
              <w:rPr>
                <w:color w:val="000000"/>
                <w:lang w:val="en-US"/>
              </w:rPr>
            </w:pPr>
            <w:r w:rsidRPr="005011B1">
              <w:rPr>
                <w:color w:val="000000"/>
                <w:lang w:val="en-US"/>
              </w:rPr>
              <w:t>134 (0.5%)</w:t>
            </w:r>
          </w:p>
        </w:tc>
      </w:tr>
      <w:tr w:rsidR="00C075F6" w:rsidRPr="005011B1" w14:paraId="72135432" w14:textId="77777777" w:rsidTr="00C075F6">
        <w:trPr>
          <w:trHeight w:val="1259"/>
        </w:trPr>
        <w:tc>
          <w:tcPr>
            <w:tcW w:w="4253" w:type="dxa"/>
            <w:shd w:val="clear" w:color="auto" w:fill="auto"/>
          </w:tcPr>
          <w:p w14:paraId="1F3A1A90" w14:textId="77777777" w:rsidR="00C075F6" w:rsidRPr="005011B1" w:rsidRDefault="00C075F6" w:rsidP="00C075F6">
            <w:pPr>
              <w:spacing w:line="480" w:lineRule="auto"/>
              <w:rPr>
                <w:rFonts w:ascii="Times New Roman" w:hAnsi="Times New Roman"/>
                <w:b/>
                <w:bCs/>
                <w:color w:val="000000"/>
                <w:lang w:val="en-US"/>
              </w:rPr>
            </w:pPr>
            <w:r w:rsidRPr="005011B1">
              <w:rPr>
                <w:rFonts w:ascii="Times New Roman" w:hAnsi="Times New Roman"/>
                <w:b/>
                <w:bCs/>
                <w:color w:val="000000"/>
                <w:lang w:val="en-US"/>
              </w:rPr>
              <w:t>Idiopathic Arrhythmias</w:t>
            </w:r>
          </w:p>
        </w:tc>
        <w:tc>
          <w:tcPr>
            <w:tcW w:w="1191" w:type="dxa"/>
            <w:shd w:val="clear" w:color="auto" w:fill="auto"/>
          </w:tcPr>
          <w:p w14:paraId="1319D06B" w14:textId="77777777" w:rsidR="00C075F6" w:rsidRPr="005011B1" w:rsidRDefault="00C075F6" w:rsidP="00C075F6">
            <w:pPr>
              <w:spacing w:line="480" w:lineRule="auto"/>
              <w:rPr>
                <w:color w:val="000000"/>
                <w:lang w:val="en-US"/>
              </w:rPr>
            </w:pPr>
            <w:r w:rsidRPr="005011B1">
              <w:rPr>
                <w:color w:val="000000"/>
                <w:lang w:val="en-US"/>
              </w:rPr>
              <w:t>396 (5.6%)</w:t>
            </w:r>
          </w:p>
        </w:tc>
        <w:tc>
          <w:tcPr>
            <w:tcW w:w="1192" w:type="dxa"/>
            <w:shd w:val="clear" w:color="auto" w:fill="auto"/>
          </w:tcPr>
          <w:p w14:paraId="605D64FF" w14:textId="77777777" w:rsidR="00C075F6" w:rsidRPr="005011B1" w:rsidRDefault="00C075F6" w:rsidP="00C075F6">
            <w:pPr>
              <w:spacing w:line="480" w:lineRule="auto"/>
              <w:rPr>
                <w:color w:val="000000"/>
                <w:lang w:val="en-US"/>
              </w:rPr>
            </w:pPr>
            <w:r w:rsidRPr="005011B1">
              <w:rPr>
                <w:color w:val="000000"/>
                <w:lang w:val="en-US"/>
              </w:rPr>
              <w:t>239 (2.9%)</w:t>
            </w:r>
          </w:p>
        </w:tc>
        <w:tc>
          <w:tcPr>
            <w:tcW w:w="1192" w:type="dxa"/>
            <w:shd w:val="clear" w:color="auto" w:fill="auto"/>
          </w:tcPr>
          <w:p w14:paraId="79F87974" w14:textId="77777777" w:rsidR="00C075F6" w:rsidRPr="005011B1" w:rsidRDefault="00C075F6" w:rsidP="00C075F6">
            <w:pPr>
              <w:spacing w:line="480" w:lineRule="auto"/>
              <w:rPr>
                <w:color w:val="000000"/>
                <w:lang w:val="en-US"/>
              </w:rPr>
            </w:pPr>
            <w:r w:rsidRPr="005011B1">
              <w:rPr>
                <w:color w:val="000000"/>
                <w:lang w:val="en-US"/>
              </w:rPr>
              <w:t xml:space="preserve">0  </w:t>
            </w:r>
            <w:proofErr w:type="gramStart"/>
            <w:r w:rsidRPr="005011B1">
              <w:rPr>
                <w:color w:val="000000"/>
                <w:lang w:val="en-US"/>
              </w:rPr>
              <w:t xml:space="preserve">   (</w:t>
            </w:r>
            <w:proofErr w:type="gramEnd"/>
            <w:r w:rsidRPr="005011B1">
              <w:rPr>
                <w:color w:val="000000"/>
                <w:lang w:val="en-US"/>
              </w:rPr>
              <w:t>0.0%)</w:t>
            </w:r>
          </w:p>
        </w:tc>
        <w:tc>
          <w:tcPr>
            <w:tcW w:w="1192" w:type="dxa"/>
            <w:shd w:val="clear" w:color="auto" w:fill="auto"/>
          </w:tcPr>
          <w:p w14:paraId="4C5849C8" w14:textId="77777777" w:rsidR="00C075F6" w:rsidRPr="005011B1" w:rsidRDefault="00C075F6" w:rsidP="00C075F6">
            <w:pPr>
              <w:spacing w:line="480" w:lineRule="auto"/>
              <w:rPr>
                <w:color w:val="000000"/>
                <w:lang w:val="en-US"/>
              </w:rPr>
            </w:pPr>
            <w:r w:rsidRPr="005011B1">
              <w:rPr>
                <w:color w:val="000000"/>
                <w:lang w:val="en-US"/>
              </w:rPr>
              <w:t>635 (2.2%)</w:t>
            </w:r>
          </w:p>
        </w:tc>
      </w:tr>
    </w:tbl>
    <w:p w14:paraId="6A91FA7F" w14:textId="77777777" w:rsidR="009C5A24" w:rsidRDefault="009C5A24" w:rsidP="00C075F6">
      <w:pPr>
        <w:spacing w:line="480" w:lineRule="auto"/>
        <w:rPr>
          <w:color w:val="000000"/>
          <w:lang w:val="en-US"/>
        </w:rPr>
      </w:pPr>
    </w:p>
    <w:p w14:paraId="7D43CF8C" w14:textId="77777777" w:rsidR="009C5A24" w:rsidRDefault="009C5A24">
      <w:pPr>
        <w:rPr>
          <w:color w:val="000000"/>
          <w:lang w:val="en-US"/>
        </w:rPr>
      </w:pPr>
      <w:r>
        <w:rPr>
          <w:color w:val="000000"/>
          <w:lang w:val="en-US"/>
        </w:rPr>
        <w:br w:type="page"/>
      </w:r>
    </w:p>
    <w:p w14:paraId="2D7E1FE7" w14:textId="77777777" w:rsidR="000E1DA6" w:rsidRDefault="00251846" w:rsidP="00C508C0">
      <w:pPr>
        <w:spacing w:line="360" w:lineRule="auto"/>
        <w:rPr>
          <w:rFonts w:ascii="Calibri Light" w:eastAsia="Yu Gothic Light" w:hAnsi="Calibri Light"/>
          <w:iCs/>
          <w:color w:val="000000"/>
          <w:lang w:val="en-US"/>
        </w:rPr>
      </w:pPr>
      <w:r w:rsidRPr="00967948">
        <w:rPr>
          <w:rFonts w:ascii="Calibri Light" w:eastAsia="Yu Gothic Light" w:hAnsi="Calibri Light"/>
          <w:iCs/>
          <w:color w:val="000000"/>
          <w:lang w:val="en-US"/>
        </w:rPr>
        <w:lastRenderedPageBreak/>
        <w:t xml:space="preserve">Table </w:t>
      </w:r>
      <w:r w:rsidR="000339E0" w:rsidRPr="00967948">
        <w:rPr>
          <w:rFonts w:ascii="Calibri Light" w:eastAsia="Yu Gothic Light" w:hAnsi="Calibri Light"/>
          <w:iCs/>
          <w:color w:val="000000"/>
          <w:lang w:val="en-US"/>
        </w:rPr>
        <w:t>3</w:t>
      </w:r>
      <w:r w:rsidRPr="00967948">
        <w:rPr>
          <w:rFonts w:ascii="Calibri Light" w:eastAsia="Yu Gothic Light" w:hAnsi="Calibri Light"/>
          <w:iCs/>
          <w:color w:val="000000"/>
          <w:lang w:val="en-US"/>
        </w:rPr>
        <w:t xml:space="preserve">. </w:t>
      </w:r>
      <w:r w:rsidR="00F624DA" w:rsidRPr="00967948">
        <w:rPr>
          <w:rFonts w:ascii="Calibri Light" w:eastAsia="Yu Gothic Light" w:hAnsi="Calibri Light"/>
          <w:iCs/>
          <w:color w:val="000000"/>
          <w:lang w:val="en-US"/>
        </w:rPr>
        <w:t xml:space="preserve">Causes of </w:t>
      </w:r>
      <w:r w:rsidR="005D56AD" w:rsidRPr="00967948">
        <w:rPr>
          <w:rFonts w:ascii="Calibri Light" w:eastAsia="Yu Gothic Light" w:hAnsi="Calibri Light"/>
          <w:iCs/>
          <w:color w:val="000000"/>
          <w:lang w:val="en-US"/>
        </w:rPr>
        <w:t>replacement</w:t>
      </w:r>
      <w:r w:rsidR="00F624DA" w:rsidRPr="00967948">
        <w:rPr>
          <w:rFonts w:ascii="Calibri Light" w:eastAsia="Yu Gothic Light" w:hAnsi="Calibri Light"/>
          <w:iCs/>
          <w:color w:val="000000"/>
          <w:lang w:val="en-US"/>
        </w:rPr>
        <w:t xml:space="preserve"> according to devices’ characteristics and indication to implantation</w:t>
      </w:r>
      <w:r w:rsidR="00F166DF" w:rsidRPr="00967948">
        <w:rPr>
          <w:rFonts w:ascii="Calibri Light" w:eastAsia="Yu Gothic Light" w:hAnsi="Calibri Light"/>
          <w:iCs/>
          <w:color w:val="000000"/>
          <w:lang w:val="en-US"/>
        </w:rPr>
        <w:t>.</w:t>
      </w:r>
      <w:r w:rsidR="000E1DA6" w:rsidRPr="00967948">
        <w:rPr>
          <w:rFonts w:ascii="Calibri Light" w:eastAsia="Yu Gothic Light" w:hAnsi="Calibri Light"/>
          <w:iCs/>
          <w:color w:val="000000"/>
          <w:lang w:val="en-US"/>
        </w:rPr>
        <w:t xml:space="preserve"> Data are expressed as count and percentage. </w:t>
      </w:r>
    </w:p>
    <w:p w14:paraId="5A9AA613" w14:textId="77777777" w:rsidR="00C075F6" w:rsidRDefault="00C075F6" w:rsidP="00C508C0">
      <w:pPr>
        <w:spacing w:line="360" w:lineRule="auto"/>
        <w:rPr>
          <w:rFonts w:ascii="Calibri Light" w:eastAsia="Yu Gothic Light" w:hAnsi="Calibri Light"/>
          <w:iCs/>
          <w:color w:val="000000"/>
          <w:lang w:val="en-US"/>
        </w:rPr>
      </w:pPr>
    </w:p>
    <w:tbl>
      <w:tblPr>
        <w:tblW w:w="5000" w:type="pct"/>
        <w:tblBorders>
          <w:top w:val="single" w:sz="4" w:space="0" w:color="7F7F7F"/>
          <w:bottom w:val="single" w:sz="4" w:space="0" w:color="7F7F7F"/>
        </w:tblBorders>
        <w:tblLook w:val="04A0" w:firstRow="1" w:lastRow="0" w:firstColumn="1" w:lastColumn="0" w:noHBand="0" w:noVBand="1"/>
      </w:tblPr>
      <w:tblGrid>
        <w:gridCol w:w="2489"/>
        <w:gridCol w:w="897"/>
        <w:gridCol w:w="897"/>
        <w:gridCol w:w="897"/>
        <w:gridCol w:w="897"/>
        <w:gridCol w:w="897"/>
        <w:gridCol w:w="897"/>
        <w:gridCol w:w="1149"/>
      </w:tblGrid>
      <w:tr w:rsidR="00C075F6" w:rsidRPr="005011B1" w14:paraId="06908002" w14:textId="77777777" w:rsidTr="003C247B">
        <w:trPr>
          <w:trHeight w:val="650"/>
        </w:trPr>
        <w:tc>
          <w:tcPr>
            <w:tcW w:w="1380" w:type="pct"/>
            <w:vMerge w:val="restart"/>
            <w:tcBorders>
              <w:bottom w:val="single" w:sz="4" w:space="0" w:color="7F7F7F"/>
            </w:tcBorders>
            <w:shd w:val="clear" w:color="auto" w:fill="auto"/>
            <w:hideMark/>
          </w:tcPr>
          <w:p w14:paraId="79E219D7" w14:textId="77777777" w:rsidR="00C075F6" w:rsidRPr="005011B1" w:rsidRDefault="00C075F6" w:rsidP="003C247B">
            <w:pPr>
              <w:rPr>
                <w:b/>
                <w:bCs/>
                <w:color w:val="000000"/>
                <w:lang w:val="en-US"/>
              </w:rPr>
            </w:pPr>
            <w:r w:rsidRPr="005011B1">
              <w:rPr>
                <w:b/>
                <w:bCs/>
                <w:color w:val="000000"/>
                <w:lang w:val="en-US"/>
              </w:rPr>
              <w:t> </w:t>
            </w:r>
          </w:p>
        </w:tc>
        <w:tc>
          <w:tcPr>
            <w:tcW w:w="1492" w:type="pct"/>
            <w:gridSpan w:val="3"/>
            <w:tcBorders>
              <w:bottom w:val="single" w:sz="4" w:space="0" w:color="7F7F7F"/>
            </w:tcBorders>
            <w:shd w:val="clear" w:color="auto" w:fill="auto"/>
            <w:hideMark/>
          </w:tcPr>
          <w:p w14:paraId="72063F5E" w14:textId="77777777" w:rsidR="00C075F6" w:rsidRPr="005011B1" w:rsidRDefault="00C075F6" w:rsidP="003C247B">
            <w:pPr>
              <w:jc w:val="center"/>
              <w:rPr>
                <w:b/>
                <w:bCs/>
                <w:i/>
                <w:iCs/>
                <w:color w:val="000000"/>
                <w:lang w:val="en-US"/>
              </w:rPr>
            </w:pPr>
            <w:r w:rsidRPr="005011B1">
              <w:rPr>
                <w:b/>
                <w:bCs/>
                <w:color w:val="000000"/>
                <w:lang w:val="en-US"/>
              </w:rPr>
              <w:t>Primary Prevention</w:t>
            </w:r>
          </w:p>
          <w:p w14:paraId="74B9F97F" w14:textId="77777777" w:rsidR="00C075F6" w:rsidRPr="005011B1" w:rsidRDefault="00C075F6" w:rsidP="003C247B">
            <w:pPr>
              <w:jc w:val="center"/>
              <w:rPr>
                <w:b/>
                <w:bCs/>
                <w:color w:val="000000"/>
                <w:lang w:val="en-US"/>
              </w:rPr>
            </w:pPr>
            <w:r w:rsidRPr="005011B1">
              <w:rPr>
                <w:b/>
                <w:bCs/>
                <w:color w:val="000000"/>
                <w:lang w:val="en-US"/>
              </w:rPr>
              <w:t>P&lt;0,001</w:t>
            </w:r>
          </w:p>
        </w:tc>
        <w:tc>
          <w:tcPr>
            <w:tcW w:w="1492" w:type="pct"/>
            <w:gridSpan w:val="3"/>
            <w:tcBorders>
              <w:bottom w:val="single" w:sz="4" w:space="0" w:color="7F7F7F"/>
            </w:tcBorders>
            <w:shd w:val="clear" w:color="auto" w:fill="auto"/>
            <w:hideMark/>
          </w:tcPr>
          <w:p w14:paraId="1DA58330" w14:textId="77777777" w:rsidR="00C075F6" w:rsidRPr="005011B1" w:rsidRDefault="00C075F6" w:rsidP="003C247B">
            <w:pPr>
              <w:jc w:val="center"/>
              <w:rPr>
                <w:b/>
                <w:bCs/>
                <w:i/>
                <w:iCs/>
                <w:color w:val="000000"/>
                <w:lang w:val="en-US"/>
              </w:rPr>
            </w:pPr>
            <w:r w:rsidRPr="005011B1">
              <w:rPr>
                <w:b/>
                <w:bCs/>
                <w:color w:val="000000"/>
                <w:lang w:val="en-US"/>
              </w:rPr>
              <w:t>Secondary Prevention</w:t>
            </w:r>
          </w:p>
          <w:p w14:paraId="71A67A43" w14:textId="77777777" w:rsidR="00C075F6" w:rsidRPr="005011B1" w:rsidRDefault="00C075F6" w:rsidP="003C247B">
            <w:pPr>
              <w:jc w:val="center"/>
              <w:rPr>
                <w:b/>
                <w:bCs/>
                <w:color w:val="000000"/>
                <w:lang w:val="en-US"/>
              </w:rPr>
            </w:pPr>
            <w:r w:rsidRPr="005011B1">
              <w:rPr>
                <w:b/>
                <w:bCs/>
                <w:color w:val="000000"/>
                <w:lang w:val="en-US"/>
              </w:rPr>
              <w:t>P&lt;0,001</w:t>
            </w:r>
          </w:p>
        </w:tc>
        <w:tc>
          <w:tcPr>
            <w:tcW w:w="637" w:type="pct"/>
            <w:tcBorders>
              <w:bottom w:val="single" w:sz="4" w:space="0" w:color="7F7F7F"/>
            </w:tcBorders>
            <w:shd w:val="clear" w:color="auto" w:fill="auto"/>
          </w:tcPr>
          <w:p w14:paraId="1AAD5487" w14:textId="77777777" w:rsidR="00C075F6" w:rsidRPr="005011B1" w:rsidRDefault="00C075F6" w:rsidP="003C247B">
            <w:pPr>
              <w:jc w:val="center"/>
              <w:rPr>
                <w:b/>
                <w:bCs/>
                <w:color w:val="000000"/>
                <w:sz w:val="22"/>
                <w:lang w:val="en-US"/>
              </w:rPr>
            </w:pPr>
            <w:r w:rsidRPr="005011B1">
              <w:rPr>
                <w:b/>
                <w:bCs/>
                <w:color w:val="000000"/>
                <w:sz w:val="22"/>
                <w:lang w:val="en-US"/>
              </w:rPr>
              <w:t>Combined</w:t>
            </w:r>
          </w:p>
        </w:tc>
      </w:tr>
      <w:tr w:rsidR="00C075F6" w:rsidRPr="005011B1" w14:paraId="21499121" w14:textId="77777777" w:rsidTr="003C247B">
        <w:trPr>
          <w:trHeight w:val="650"/>
        </w:trPr>
        <w:tc>
          <w:tcPr>
            <w:tcW w:w="1380" w:type="pct"/>
            <w:vMerge/>
            <w:tcBorders>
              <w:top w:val="single" w:sz="4" w:space="0" w:color="7F7F7F"/>
              <w:bottom w:val="single" w:sz="4" w:space="0" w:color="7F7F7F"/>
            </w:tcBorders>
            <w:shd w:val="clear" w:color="auto" w:fill="auto"/>
            <w:hideMark/>
          </w:tcPr>
          <w:p w14:paraId="708B92B5" w14:textId="77777777" w:rsidR="00C075F6" w:rsidRPr="005011B1" w:rsidRDefault="00C075F6" w:rsidP="003C247B">
            <w:pPr>
              <w:rPr>
                <w:b/>
                <w:bCs/>
                <w:color w:val="000000"/>
                <w:lang w:val="en-US"/>
              </w:rPr>
            </w:pPr>
          </w:p>
        </w:tc>
        <w:tc>
          <w:tcPr>
            <w:tcW w:w="497" w:type="pct"/>
            <w:tcBorders>
              <w:top w:val="single" w:sz="4" w:space="0" w:color="7F7F7F"/>
              <w:bottom w:val="single" w:sz="4" w:space="0" w:color="7F7F7F"/>
            </w:tcBorders>
            <w:shd w:val="clear" w:color="auto" w:fill="auto"/>
            <w:hideMark/>
          </w:tcPr>
          <w:p w14:paraId="35881C9F" w14:textId="77777777" w:rsidR="00C075F6" w:rsidRPr="005011B1" w:rsidRDefault="00C075F6" w:rsidP="003C247B">
            <w:pPr>
              <w:jc w:val="center"/>
              <w:rPr>
                <w:color w:val="000000"/>
                <w:lang w:val="en-US"/>
              </w:rPr>
            </w:pPr>
            <w:r w:rsidRPr="005011B1">
              <w:rPr>
                <w:color w:val="000000"/>
                <w:lang w:val="en-US"/>
              </w:rPr>
              <w:t>ICD-VR</w:t>
            </w:r>
          </w:p>
        </w:tc>
        <w:tc>
          <w:tcPr>
            <w:tcW w:w="497" w:type="pct"/>
            <w:tcBorders>
              <w:top w:val="single" w:sz="4" w:space="0" w:color="7F7F7F"/>
              <w:bottom w:val="single" w:sz="4" w:space="0" w:color="7F7F7F"/>
            </w:tcBorders>
            <w:shd w:val="clear" w:color="auto" w:fill="auto"/>
            <w:hideMark/>
          </w:tcPr>
          <w:p w14:paraId="41BEC4C5" w14:textId="77777777" w:rsidR="00C075F6" w:rsidRPr="005011B1" w:rsidRDefault="00C075F6" w:rsidP="003C247B">
            <w:pPr>
              <w:jc w:val="center"/>
              <w:rPr>
                <w:color w:val="000000"/>
                <w:lang w:val="en-US"/>
              </w:rPr>
            </w:pPr>
            <w:r w:rsidRPr="005011B1">
              <w:rPr>
                <w:color w:val="000000"/>
                <w:sz w:val="22"/>
                <w:lang w:val="en-US"/>
              </w:rPr>
              <w:t>ICD-DR</w:t>
            </w:r>
          </w:p>
        </w:tc>
        <w:tc>
          <w:tcPr>
            <w:tcW w:w="497" w:type="pct"/>
            <w:tcBorders>
              <w:top w:val="single" w:sz="4" w:space="0" w:color="7F7F7F"/>
              <w:bottom w:val="single" w:sz="4" w:space="0" w:color="7F7F7F"/>
            </w:tcBorders>
            <w:shd w:val="clear" w:color="auto" w:fill="auto"/>
            <w:hideMark/>
          </w:tcPr>
          <w:p w14:paraId="4E8F9E92" w14:textId="77777777" w:rsidR="00C075F6" w:rsidRPr="005011B1" w:rsidRDefault="00C075F6" w:rsidP="003C247B">
            <w:pPr>
              <w:jc w:val="center"/>
              <w:rPr>
                <w:color w:val="000000"/>
                <w:lang w:val="en-US"/>
              </w:rPr>
            </w:pPr>
            <w:r w:rsidRPr="005011B1">
              <w:rPr>
                <w:color w:val="000000"/>
                <w:lang w:val="en-US"/>
              </w:rPr>
              <w:t>CRT-D</w:t>
            </w:r>
          </w:p>
        </w:tc>
        <w:tc>
          <w:tcPr>
            <w:tcW w:w="497" w:type="pct"/>
            <w:tcBorders>
              <w:top w:val="single" w:sz="4" w:space="0" w:color="7F7F7F"/>
              <w:bottom w:val="single" w:sz="4" w:space="0" w:color="7F7F7F"/>
            </w:tcBorders>
            <w:shd w:val="clear" w:color="auto" w:fill="auto"/>
            <w:hideMark/>
          </w:tcPr>
          <w:p w14:paraId="76C31B2E" w14:textId="77777777" w:rsidR="00C075F6" w:rsidRPr="005011B1" w:rsidRDefault="00C075F6" w:rsidP="003C247B">
            <w:pPr>
              <w:jc w:val="center"/>
              <w:rPr>
                <w:color w:val="000000"/>
                <w:lang w:val="en-US"/>
              </w:rPr>
            </w:pPr>
            <w:r w:rsidRPr="005011B1">
              <w:rPr>
                <w:color w:val="000000"/>
                <w:lang w:val="en-US"/>
              </w:rPr>
              <w:t>ICD-VR</w:t>
            </w:r>
          </w:p>
        </w:tc>
        <w:tc>
          <w:tcPr>
            <w:tcW w:w="497" w:type="pct"/>
            <w:tcBorders>
              <w:top w:val="single" w:sz="4" w:space="0" w:color="7F7F7F"/>
              <w:bottom w:val="single" w:sz="4" w:space="0" w:color="7F7F7F"/>
            </w:tcBorders>
            <w:shd w:val="clear" w:color="auto" w:fill="auto"/>
            <w:hideMark/>
          </w:tcPr>
          <w:p w14:paraId="35F6B33D" w14:textId="77777777" w:rsidR="00C075F6" w:rsidRPr="005011B1" w:rsidRDefault="00C075F6" w:rsidP="003C247B">
            <w:pPr>
              <w:jc w:val="center"/>
              <w:rPr>
                <w:color w:val="000000"/>
                <w:lang w:val="en-US"/>
              </w:rPr>
            </w:pPr>
            <w:r w:rsidRPr="005011B1">
              <w:rPr>
                <w:color w:val="000000"/>
                <w:sz w:val="22"/>
                <w:lang w:val="en-US"/>
              </w:rPr>
              <w:t>ICD-DR</w:t>
            </w:r>
          </w:p>
        </w:tc>
        <w:tc>
          <w:tcPr>
            <w:tcW w:w="497" w:type="pct"/>
            <w:tcBorders>
              <w:top w:val="single" w:sz="4" w:space="0" w:color="7F7F7F"/>
              <w:bottom w:val="single" w:sz="4" w:space="0" w:color="7F7F7F"/>
            </w:tcBorders>
            <w:shd w:val="clear" w:color="auto" w:fill="auto"/>
            <w:hideMark/>
          </w:tcPr>
          <w:p w14:paraId="54470AFE" w14:textId="77777777" w:rsidR="00C075F6" w:rsidRPr="005011B1" w:rsidRDefault="00C075F6" w:rsidP="003C247B">
            <w:pPr>
              <w:jc w:val="center"/>
              <w:rPr>
                <w:color w:val="000000"/>
                <w:lang w:val="en-US"/>
              </w:rPr>
            </w:pPr>
            <w:r w:rsidRPr="005011B1">
              <w:rPr>
                <w:color w:val="000000"/>
                <w:lang w:val="en-US"/>
              </w:rPr>
              <w:t>CRT-D</w:t>
            </w:r>
          </w:p>
        </w:tc>
        <w:tc>
          <w:tcPr>
            <w:tcW w:w="637" w:type="pct"/>
            <w:tcBorders>
              <w:top w:val="single" w:sz="4" w:space="0" w:color="7F7F7F"/>
              <w:bottom w:val="single" w:sz="4" w:space="0" w:color="7F7F7F"/>
            </w:tcBorders>
            <w:shd w:val="clear" w:color="auto" w:fill="auto"/>
          </w:tcPr>
          <w:p w14:paraId="447D9853" w14:textId="77777777" w:rsidR="00C075F6" w:rsidRPr="005011B1" w:rsidRDefault="00C075F6" w:rsidP="003C247B">
            <w:pPr>
              <w:jc w:val="right"/>
              <w:rPr>
                <w:color w:val="000000"/>
                <w:lang w:val="en-US"/>
              </w:rPr>
            </w:pPr>
          </w:p>
        </w:tc>
      </w:tr>
      <w:tr w:rsidR="00C075F6" w:rsidRPr="005011B1" w14:paraId="7981F141" w14:textId="77777777" w:rsidTr="003C247B">
        <w:trPr>
          <w:trHeight w:val="1300"/>
        </w:trPr>
        <w:tc>
          <w:tcPr>
            <w:tcW w:w="1380" w:type="pct"/>
            <w:shd w:val="clear" w:color="auto" w:fill="auto"/>
            <w:hideMark/>
          </w:tcPr>
          <w:p w14:paraId="1E5164D3" w14:textId="77777777" w:rsidR="00C075F6" w:rsidRPr="005011B1" w:rsidRDefault="00C075F6" w:rsidP="003C247B">
            <w:pPr>
              <w:rPr>
                <w:b/>
                <w:bCs/>
                <w:color w:val="000000"/>
                <w:sz w:val="22"/>
                <w:szCs w:val="22"/>
                <w:lang w:val="en-US"/>
              </w:rPr>
            </w:pPr>
            <w:r w:rsidRPr="005011B1">
              <w:rPr>
                <w:b/>
                <w:bCs/>
                <w:color w:val="000000"/>
                <w:sz w:val="22"/>
                <w:szCs w:val="22"/>
                <w:lang w:val="en-US"/>
              </w:rPr>
              <w:t>Battery End of Life</w:t>
            </w:r>
          </w:p>
        </w:tc>
        <w:tc>
          <w:tcPr>
            <w:tcW w:w="497" w:type="pct"/>
            <w:shd w:val="clear" w:color="auto" w:fill="auto"/>
            <w:hideMark/>
          </w:tcPr>
          <w:p w14:paraId="3395B138" w14:textId="77777777" w:rsidR="00C075F6" w:rsidRPr="005011B1" w:rsidRDefault="00C075F6" w:rsidP="003C247B">
            <w:pPr>
              <w:rPr>
                <w:color w:val="000000"/>
                <w:sz w:val="22"/>
                <w:szCs w:val="22"/>
                <w:lang w:val="en-US"/>
              </w:rPr>
            </w:pPr>
            <w:r w:rsidRPr="005011B1">
              <w:rPr>
                <w:color w:val="000000"/>
                <w:sz w:val="22"/>
                <w:szCs w:val="22"/>
                <w:lang w:val="en-US"/>
              </w:rPr>
              <w:t>2650 (69.8%)</w:t>
            </w:r>
          </w:p>
        </w:tc>
        <w:tc>
          <w:tcPr>
            <w:tcW w:w="497" w:type="pct"/>
            <w:shd w:val="clear" w:color="auto" w:fill="auto"/>
            <w:hideMark/>
          </w:tcPr>
          <w:p w14:paraId="10BC7E86" w14:textId="77777777" w:rsidR="00C075F6" w:rsidRPr="005011B1" w:rsidRDefault="00C075F6" w:rsidP="003C247B">
            <w:pPr>
              <w:rPr>
                <w:color w:val="000000"/>
                <w:sz w:val="22"/>
                <w:szCs w:val="22"/>
                <w:lang w:val="en-US"/>
              </w:rPr>
            </w:pPr>
            <w:r w:rsidRPr="005011B1">
              <w:rPr>
                <w:color w:val="000000"/>
                <w:sz w:val="22"/>
                <w:szCs w:val="22"/>
                <w:lang w:val="en-US"/>
              </w:rPr>
              <w:t>3502 (74.0%)</w:t>
            </w:r>
          </w:p>
        </w:tc>
        <w:tc>
          <w:tcPr>
            <w:tcW w:w="497" w:type="pct"/>
            <w:shd w:val="clear" w:color="auto" w:fill="auto"/>
            <w:hideMark/>
          </w:tcPr>
          <w:p w14:paraId="2A4E919B" w14:textId="77777777" w:rsidR="00C075F6" w:rsidRPr="005011B1" w:rsidRDefault="00C075F6" w:rsidP="003C247B">
            <w:pPr>
              <w:rPr>
                <w:color w:val="000000"/>
                <w:sz w:val="22"/>
                <w:szCs w:val="22"/>
                <w:lang w:val="en-US"/>
              </w:rPr>
            </w:pPr>
            <w:r w:rsidRPr="005011B1">
              <w:rPr>
                <w:color w:val="000000"/>
                <w:sz w:val="22"/>
                <w:szCs w:val="22"/>
                <w:lang w:val="en-US"/>
              </w:rPr>
              <w:t>9470 (92.1%)</w:t>
            </w:r>
          </w:p>
        </w:tc>
        <w:tc>
          <w:tcPr>
            <w:tcW w:w="497" w:type="pct"/>
            <w:shd w:val="clear" w:color="auto" w:fill="auto"/>
            <w:hideMark/>
          </w:tcPr>
          <w:p w14:paraId="2334A042" w14:textId="77777777" w:rsidR="00C075F6" w:rsidRPr="005011B1" w:rsidRDefault="00C075F6" w:rsidP="003C247B">
            <w:pPr>
              <w:rPr>
                <w:color w:val="000000"/>
                <w:sz w:val="22"/>
                <w:szCs w:val="22"/>
                <w:lang w:val="en-US"/>
              </w:rPr>
            </w:pPr>
            <w:r w:rsidRPr="005011B1">
              <w:rPr>
                <w:color w:val="000000"/>
                <w:sz w:val="22"/>
                <w:szCs w:val="22"/>
                <w:lang w:val="en-US"/>
              </w:rPr>
              <w:t>2297 (70.1%)</w:t>
            </w:r>
          </w:p>
        </w:tc>
        <w:tc>
          <w:tcPr>
            <w:tcW w:w="497" w:type="pct"/>
            <w:shd w:val="clear" w:color="auto" w:fill="auto"/>
            <w:hideMark/>
          </w:tcPr>
          <w:p w14:paraId="34F4B940" w14:textId="77777777" w:rsidR="00C075F6" w:rsidRPr="005011B1" w:rsidRDefault="00C075F6" w:rsidP="003C247B">
            <w:pPr>
              <w:rPr>
                <w:color w:val="000000"/>
                <w:sz w:val="22"/>
                <w:szCs w:val="22"/>
                <w:lang w:val="en-US"/>
              </w:rPr>
            </w:pPr>
            <w:r w:rsidRPr="005011B1">
              <w:rPr>
                <w:color w:val="000000"/>
                <w:sz w:val="22"/>
                <w:szCs w:val="22"/>
                <w:lang w:val="en-US"/>
              </w:rPr>
              <w:t>2602 (74.8%)</w:t>
            </w:r>
          </w:p>
        </w:tc>
        <w:tc>
          <w:tcPr>
            <w:tcW w:w="497" w:type="pct"/>
            <w:shd w:val="clear" w:color="auto" w:fill="auto"/>
            <w:hideMark/>
          </w:tcPr>
          <w:p w14:paraId="2B73ABB6" w14:textId="77777777" w:rsidR="00C075F6" w:rsidRPr="005011B1" w:rsidRDefault="00C075F6" w:rsidP="003C247B">
            <w:pPr>
              <w:rPr>
                <w:color w:val="000000"/>
                <w:sz w:val="22"/>
                <w:szCs w:val="22"/>
                <w:lang w:val="en-US"/>
              </w:rPr>
            </w:pPr>
            <w:r w:rsidRPr="005011B1">
              <w:rPr>
                <w:color w:val="000000"/>
                <w:sz w:val="22"/>
                <w:szCs w:val="22"/>
                <w:lang w:val="en-US"/>
              </w:rPr>
              <w:t>3302 (92.0%)</w:t>
            </w:r>
          </w:p>
        </w:tc>
        <w:tc>
          <w:tcPr>
            <w:tcW w:w="637" w:type="pct"/>
            <w:shd w:val="clear" w:color="auto" w:fill="auto"/>
          </w:tcPr>
          <w:p w14:paraId="0F8F2855" w14:textId="77777777" w:rsidR="00C075F6" w:rsidRPr="005011B1" w:rsidRDefault="00C075F6" w:rsidP="003C247B">
            <w:pPr>
              <w:rPr>
                <w:color w:val="000000"/>
                <w:sz w:val="22"/>
                <w:szCs w:val="22"/>
                <w:lang w:val="en-US"/>
              </w:rPr>
            </w:pPr>
            <w:r w:rsidRPr="005011B1">
              <w:rPr>
                <w:color w:val="000000"/>
                <w:sz w:val="22"/>
                <w:szCs w:val="22"/>
                <w:lang w:val="en-US"/>
              </w:rPr>
              <w:t>23823</w:t>
            </w:r>
          </w:p>
          <w:p w14:paraId="020AF5BC" w14:textId="77777777" w:rsidR="00C075F6" w:rsidRPr="005011B1" w:rsidRDefault="00C075F6" w:rsidP="003C247B">
            <w:pPr>
              <w:rPr>
                <w:color w:val="000000"/>
                <w:sz w:val="22"/>
                <w:szCs w:val="22"/>
                <w:lang w:val="en-US"/>
              </w:rPr>
            </w:pPr>
            <w:r w:rsidRPr="005011B1">
              <w:rPr>
                <w:color w:val="000000"/>
                <w:sz w:val="22"/>
                <w:szCs w:val="22"/>
                <w:lang w:val="en-US"/>
              </w:rPr>
              <w:t>(81,7%)</w:t>
            </w:r>
          </w:p>
        </w:tc>
      </w:tr>
      <w:tr w:rsidR="00C075F6" w:rsidRPr="005011B1" w14:paraId="0B476426" w14:textId="77777777" w:rsidTr="003C247B">
        <w:trPr>
          <w:trHeight w:val="650"/>
        </w:trPr>
        <w:tc>
          <w:tcPr>
            <w:tcW w:w="1380" w:type="pct"/>
            <w:tcBorders>
              <w:top w:val="single" w:sz="4" w:space="0" w:color="7F7F7F"/>
              <w:bottom w:val="single" w:sz="4" w:space="0" w:color="7F7F7F"/>
            </w:tcBorders>
            <w:shd w:val="clear" w:color="auto" w:fill="auto"/>
            <w:hideMark/>
          </w:tcPr>
          <w:p w14:paraId="09114128" w14:textId="77777777" w:rsidR="00C075F6" w:rsidRPr="005011B1" w:rsidRDefault="00C075F6" w:rsidP="003C247B">
            <w:pPr>
              <w:rPr>
                <w:b/>
                <w:bCs/>
                <w:color w:val="000000"/>
                <w:sz w:val="16"/>
                <w:lang w:val="en-US"/>
              </w:rPr>
            </w:pPr>
            <w:r w:rsidRPr="005011B1">
              <w:rPr>
                <w:b/>
                <w:bCs/>
                <w:color w:val="000000"/>
                <w:sz w:val="20"/>
                <w:lang w:val="en-US"/>
              </w:rPr>
              <w:t>Recall/System Malfunction</w:t>
            </w:r>
          </w:p>
        </w:tc>
        <w:tc>
          <w:tcPr>
            <w:tcW w:w="497" w:type="pct"/>
            <w:tcBorders>
              <w:top w:val="single" w:sz="4" w:space="0" w:color="7F7F7F"/>
              <w:bottom w:val="single" w:sz="4" w:space="0" w:color="7F7F7F"/>
            </w:tcBorders>
            <w:shd w:val="clear" w:color="auto" w:fill="auto"/>
            <w:hideMark/>
          </w:tcPr>
          <w:p w14:paraId="75FD4D5B" w14:textId="77777777" w:rsidR="00C075F6" w:rsidRPr="005011B1" w:rsidRDefault="00C075F6" w:rsidP="003C247B">
            <w:pPr>
              <w:rPr>
                <w:color w:val="000000"/>
                <w:sz w:val="22"/>
                <w:szCs w:val="22"/>
                <w:lang w:val="en-US"/>
              </w:rPr>
            </w:pPr>
            <w:r w:rsidRPr="005011B1">
              <w:rPr>
                <w:color w:val="000000"/>
                <w:sz w:val="22"/>
                <w:szCs w:val="22"/>
                <w:lang w:val="en-US"/>
              </w:rPr>
              <w:t>35 (0.9%)</w:t>
            </w:r>
          </w:p>
        </w:tc>
        <w:tc>
          <w:tcPr>
            <w:tcW w:w="497" w:type="pct"/>
            <w:tcBorders>
              <w:top w:val="single" w:sz="4" w:space="0" w:color="7F7F7F"/>
              <w:bottom w:val="single" w:sz="4" w:space="0" w:color="7F7F7F"/>
            </w:tcBorders>
            <w:shd w:val="clear" w:color="auto" w:fill="auto"/>
            <w:hideMark/>
          </w:tcPr>
          <w:p w14:paraId="118D943F" w14:textId="77777777" w:rsidR="00C075F6" w:rsidRPr="005011B1" w:rsidRDefault="00C075F6" w:rsidP="003C247B">
            <w:pPr>
              <w:rPr>
                <w:color w:val="000000"/>
                <w:sz w:val="22"/>
                <w:szCs w:val="22"/>
                <w:lang w:val="en-US"/>
              </w:rPr>
            </w:pPr>
            <w:r w:rsidRPr="005011B1">
              <w:rPr>
                <w:color w:val="000000"/>
                <w:sz w:val="22"/>
                <w:szCs w:val="22"/>
                <w:lang w:val="en-US"/>
              </w:rPr>
              <w:t>59 (1.2%)</w:t>
            </w:r>
          </w:p>
        </w:tc>
        <w:tc>
          <w:tcPr>
            <w:tcW w:w="497" w:type="pct"/>
            <w:tcBorders>
              <w:top w:val="single" w:sz="4" w:space="0" w:color="7F7F7F"/>
              <w:bottom w:val="single" w:sz="4" w:space="0" w:color="7F7F7F"/>
            </w:tcBorders>
            <w:shd w:val="clear" w:color="auto" w:fill="auto"/>
            <w:hideMark/>
          </w:tcPr>
          <w:p w14:paraId="7F7CF5D9" w14:textId="77777777" w:rsidR="00C075F6" w:rsidRPr="005011B1" w:rsidRDefault="00C075F6" w:rsidP="003C247B">
            <w:pPr>
              <w:rPr>
                <w:color w:val="000000"/>
                <w:sz w:val="22"/>
                <w:szCs w:val="22"/>
                <w:lang w:val="en-US"/>
              </w:rPr>
            </w:pPr>
            <w:r w:rsidRPr="005011B1">
              <w:rPr>
                <w:color w:val="000000"/>
                <w:sz w:val="22"/>
                <w:szCs w:val="22"/>
                <w:lang w:val="en-US"/>
              </w:rPr>
              <w:t>120 (1.2%)</w:t>
            </w:r>
          </w:p>
        </w:tc>
        <w:tc>
          <w:tcPr>
            <w:tcW w:w="497" w:type="pct"/>
            <w:tcBorders>
              <w:top w:val="single" w:sz="4" w:space="0" w:color="7F7F7F"/>
              <w:bottom w:val="single" w:sz="4" w:space="0" w:color="7F7F7F"/>
            </w:tcBorders>
            <w:shd w:val="clear" w:color="auto" w:fill="auto"/>
            <w:hideMark/>
          </w:tcPr>
          <w:p w14:paraId="77F0722D" w14:textId="77777777" w:rsidR="00C075F6" w:rsidRPr="005011B1" w:rsidRDefault="00C075F6" w:rsidP="003C247B">
            <w:pPr>
              <w:rPr>
                <w:color w:val="000000"/>
                <w:sz w:val="22"/>
                <w:szCs w:val="22"/>
                <w:lang w:val="en-US"/>
              </w:rPr>
            </w:pPr>
            <w:r w:rsidRPr="005011B1">
              <w:rPr>
                <w:color w:val="000000"/>
                <w:sz w:val="22"/>
                <w:szCs w:val="22"/>
                <w:lang w:val="en-US"/>
              </w:rPr>
              <w:t>53 (1.6%)</w:t>
            </w:r>
          </w:p>
        </w:tc>
        <w:tc>
          <w:tcPr>
            <w:tcW w:w="497" w:type="pct"/>
            <w:tcBorders>
              <w:top w:val="single" w:sz="4" w:space="0" w:color="7F7F7F"/>
              <w:bottom w:val="single" w:sz="4" w:space="0" w:color="7F7F7F"/>
            </w:tcBorders>
            <w:shd w:val="clear" w:color="auto" w:fill="auto"/>
            <w:hideMark/>
          </w:tcPr>
          <w:p w14:paraId="5E591B5C" w14:textId="77777777" w:rsidR="00C075F6" w:rsidRPr="005011B1" w:rsidRDefault="00C075F6" w:rsidP="003C247B">
            <w:pPr>
              <w:rPr>
                <w:color w:val="000000"/>
                <w:sz w:val="22"/>
                <w:szCs w:val="22"/>
                <w:lang w:val="en-US"/>
              </w:rPr>
            </w:pPr>
            <w:r w:rsidRPr="005011B1">
              <w:rPr>
                <w:color w:val="000000"/>
                <w:sz w:val="22"/>
                <w:szCs w:val="22"/>
                <w:lang w:val="en-US"/>
              </w:rPr>
              <w:t>51 (1.5%)</w:t>
            </w:r>
          </w:p>
        </w:tc>
        <w:tc>
          <w:tcPr>
            <w:tcW w:w="497" w:type="pct"/>
            <w:tcBorders>
              <w:top w:val="single" w:sz="4" w:space="0" w:color="7F7F7F"/>
              <w:bottom w:val="single" w:sz="4" w:space="0" w:color="7F7F7F"/>
            </w:tcBorders>
            <w:shd w:val="clear" w:color="auto" w:fill="auto"/>
            <w:hideMark/>
          </w:tcPr>
          <w:p w14:paraId="1B7B91BC" w14:textId="77777777" w:rsidR="00C075F6" w:rsidRPr="005011B1" w:rsidRDefault="00C075F6" w:rsidP="003C247B">
            <w:pPr>
              <w:rPr>
                <w:color w:val="000000"/>
                <w:sz w:val="22"/>
                <w:szCs w:val="22"/>
                <w:lang w:val="en-US"/>
              </w:rPr>
            </w:pPr>
            <w:r w:rsidRPr="005011B1">
              <w:rPr>
                <w:color w:val="000000"/>
                <w:sz w:val="22"/>
                <w:szCs w:val="22"/>
                <w:lang w:val="en-US"/>
              </w:rPr>
              <w:t>36 (1.0%)</w:t>
            </w:r>
          </w:p>
        </w:tc>
        <w:tc>
          <w:tcPr>
            <w:tcW w:w="637" w:type="pct"/>
            <w:tcBorders>
              <w:top w:val="single" w:sz="4" w:space="0" w:color="7F7F7F"/>
              <w:bottom w:val="single" w:sz="4" w:space="0" w:color="7F7F7F"/>
            </w:tcBorders>
            <w:shd w:val="clear" w:color="auto" w:fill="auto"/>
          </w:tcPr>
          <w:p w14:paraId="6E928FB1" w14:textId="77777777" w:rsidR="00C075F6" w:rsidRPr="005011B1" w:rsidRDefault="00C075F6" w:rsidP="003C247B">
            <w:pPr>
              <w:rPr>
                <w:color w:val="000000"/>
                <w:sz w:val="22"/>
                <w:szCs w:val="22"/>
                <w:lang w:val="en-US"/>
              </w:rPr>
            </w:pPr>
            <w:r w:rsidRPr="005011B1">
              <w:rPr>
                <w:color w:val="000000"/>
                <w:sz w:val="22"/>
                <w:szCs w:val="22"/>
                <w:lang w:val="en-US"/>
              </w:rPr>
              <w:t>354</w:t>
            </w:r>
          </w:p>
          <w:p w14:paraId="079F7490" w14:textId="77777777" w:rsidR="00C075F6" w:rsidRPr="005011B1" w:rsidRDefault="00C075F6" w:rsidP="003C247B">
            <w:pPr>
              <w:rPr>
                <w:color w:val="000000"/>
                <w:sz w:val="22"/>
                <w:szCs w:val="22"/>
                <w:lang w:val="en-US"/>
              </w:rPr>
            </w:pPr>
            <w:r w:rsidRPr="005011B1">
              <w:rPr>
                <w:color w:val="000000"/>
                <w:sz w:val="22"/>
                <w:szCs w:val="22"/>
                <w:lang w:val="en-US"/>
              </w:rPr>
              <w:t>(1.2%)</w:t>
            </w:r>
          </w:p>
        </w:tc>
      </w:tr>
      <w:tr w:rsidR="00C075F6" w:rsidRPr="005011B1" w14:paraId="3723AD28" w14:textId="77777777" w:rsidTr="003C247B">
        <w:trPr>
          <w:trHeight w:val="1300"/>
        </w:trPr>
        <w:tc>
          <w:tcPr>
            <w:tcW w:w="1380" w:type="pct"/>
            <w:shd w:val="clear" w:color="auto" w:fill="auto"/>
            <w:hideMark/>
          </w:tcPr>
          <w:p w14:paraId="4CD9C33F" w14:textId="77777777" w:rsidR="00C075F6" w:rsidRPr="005011B1" w:rsidRDefault="00C075F6" w:rsidP="003C247B">
            <w:pPr>
              <w:rPr>
                <w:b/>
                <w:bCs/>
                <w:color w:val="000000"/>
                <w:sz w:val="22"/>
                <w:szCs w:val="22"/>
                <w:lang w:val="en-US"/>
              </w:rPr>
            </w:pPr>
            <w:r w:rsidRPr="005011B1">
              <w:rPr>
                <w:b/>
                <w:bCs/>
                <w:color w:val="000000"/>
                <w:sz w:val="22"/>
                <w:szCs w:val="22"/>
                <w:lang w:val="en-US"/>
              </w:rPr>
              <w:t>CRT Upgrading</w:t>
            </w:r>
          </w:p>
        </w:tc>
        <w:tc>
          <w:tcPr>
            <w:tcW w:w="497" w:type="pct"/>
            <w:shd w:val="clear" w:color="auto" w:fill="auto"/>
            <w:hideMark/>
          </w:tcPr>
          <w:p w14:paraId="59241FA0" w14:textId="77777777" w:rsidR="00C075F6" w:rsidRPr="005011B1" w:rsidRDefault="00C075F6" w:rsidP="003C247B">
            <w:pPr>
              <w:rPr>
                <w:color w:val="000000"/>
                <w:sz w:val="22"/>
                <w:szCs w:val="22"/>
                <w:lang w:val="en-US"/>
              </w:rPr>
            </w:pPr>
            <w:r w:rsidRPr="005011B1">
              <w:rPr>
                <w:color w:val="000000"/>
                <w:sz w:val="22"/>
                <w:szCs w:val="22"/>
                <w:lang w:val="en-US"/>
              </w:rPr>
              <w:t>781 (20.6%)</w:t>
            </w:r>
          </w:p>
        </w:tc>
        <w:tc>
          <w:tcPr>
            <w:tcW w:w="497" w:type="pct"/>
            <w:shd w:val="clear" w:color="auto" w:fill="auto"/>
            <w:hideMark/>
          </w:tcPr>
          <w:p w14:paraId="59DE31DD" w14:textId="77777777" w:rsidR="00C075F6" w:rsidRPr="005011B1" w:rsidRDefault="00C075F6" w:rsidP="003C247B">
            <w:pPr>
              <w:rPr>
                <w:color w:val="000000"/>
                <w:sz w:val="22"/>
                <w:szCs w:val="22"/>
                <w:lang w:val="en-US"/>
              </w:rPr>
            </w:pPr>
            <w:r w:rsidRPr="005011B1">
              <w:rPr>
                <w:color w:val="000000"/>
                <w:sz w:val="22"/>
                <w:szCs w:val="22"/>
                <w:lang w:val="en-US"/>
              </w:rPr>
              <w:t>824 (17.4%)</w:t>
            </w:r>
          </w:p>
        </w:tc>
        <w:tc>
          <w:tcPr>
            <w:tcW w:w="497" w:type="pct"/>
            <w:shd w:val="clear" w:color="auto" w:fill="auto"/>
            <w:hideMark/>
          </w:tcPr>
          <w:p w14:paraId="3C2BC4FA" w14:textId="77777777" w:rsidR="00C075F6" w:rsidRPr="005011B1" w:rsidRDefault="00C075F6" w:rsidP="003C247B">
            <w:pPr>
              <w:rPr>
                <w:color w:val="000000"/>
                <w:sz w:val="22"/>
                <w:szCs w:val="22"/>
                <w:lang w:val="en-US"/>
              </w:rPr>
            </w:pPr>
            <w:r w:rsidRPr="005011B1">
              <w:rPr>
                <w:color w:val="000000"/>
                <w:sz w:val="22"/>
                <w:szCs w:val="22"/>
                <w:lang w:val="en-US"/>
              </w:rPr>
              <w:t xml:space="preserve">0 </w:t>
            </w:r>
          </w:p>
          <w:p w14:paraId="76306E8D" w14:textId="77777777" w:rsidR="00C075F6" w:rsidRPr="005011B1" w:rsidRDefault="00C075F6" w:rsidP="003C247B">
            <w:pPr>
              <w:rPr>
                <w:color w:val="000000"/>
                <w:sz w:val="22"/>
                <w:szCs w:val="22"/>
                <w:lang w:val="en-US"/>
              </w:rPr>
            </w:pPr>
            <w:r w:rsidRPr="005011B1">
              <w:rPr>
                <w:color w:val="000000"/>
                <w:sz w:val="22"/>
                <w:szCs w:val="22"/>
                <w:lang w:val="en-US"/>
              </w:rPr>
              <w:t>(0,0%)</w:t>
            </w:r>
          </w:p>
        </w:tc>
        <w:tc>
          <w:tcPr>
            <w:tcW w:w="497" w:type="pct"/>
            <w:shd w:val="clear" w:color="auto" w:fill="auto"/>
            <w:hideMark/>
          </w:tcPr>
          <w:p w14:paraId="3B0E1F38" w14:textId="77777777" w:rsidR="00C075F6" w:rsidRPr="005011B1" w:rsidRDefault="00C075F6" w:rsidP="003C247B">
            <w:pPr>
              <w:rPr>
                <w:color w:val="000000"/>
                <w:sz w:val="22"/>
                <w:szCs w:val="22"/>
                <w:lang w:val="en-US"/>
              </w:rPr>
            </w:pPr>
            <w:r w:rsidRPr="005011B1">
              <w:rPr>
                <w:color w:val="000000"/>
                <w:sz w:val="22"/>
                <w:szCs w:val="22"/>
                <w:lang w:val="en-US"/>
              </w:rPr>
              <w:t>702 (21.4%)</w:t>
            </w:r>
          </w:p>
        </w:tc>
        <w:tc>
          <w:tcPr>
            <w:tcW w:w="497" w:type="pct"/>
            <w:shd w:val="clear" w:color="auto" w:fill="auto"/>
            <w:hideMark/>
          </w:tcPr>
          <w:p w14:paraId="27D074E5" w14:textId="77777777" w:rsidR="00C075F6" w:rsidRPr="005011B1" w:rsidRDefault="00C075F6" w:rsidP="003C247B">
            <w:pPr>
              <w:rPr>
                <w:color w:val="000000"/>
                <w:sz w:val="22"/>
                <w:szCs w:val="22"/>
                <w:lang w:val="en-US"/>
              </w:rPr>
            </w:pPr>
            <w:r w:rsidRPr="005011B1">
              <w:rPr>
                <w:color w:val="000000"/>
                <w:sz w:val="22"/>
                <w:szCs w:val="22"/>
                <w:lang w:val="en-US"/>
              </w:rPr>
              <w:t>565 (16.2%)</w:t>
            </w:r>
          </w:p>
        </w:tc>
        <w:tc>
          <w:tcPr>
            <w:tcW w:w="497" w:type="pct"/>
            <w:shd w:val="clear" w:color="auto" w:fill="auto"/>
            <w:hideMark/>
          </w:tcPr>
          <w:p w14:paraId="03214EF6" w14:textId="77777777" w:rsidR="00C075F6" w:rsidRPr="005011B1" w:rsidRDefault="00C075F6" w:rsidP="003C247B">
            <w:pPr>
              <w:rPr>
                <w:color w:val="000000"/>
                <w:sz w:val="22"/>
                <w:szCs w:val="22"/>
                <w:lang w:val="en-US"/>
              </w:rPr>
            </w:pPr>
            <w:r w:rsidRPr="005011B1">
              <w:rPr>
                <w:color w:val="000000"/>
                <w:sz w:val="22"/>
                <w:szCs w:val="22"/>
                <w:lang w:val="en-US"/>
              </w:rPr>
              <w:t xml:space="preserve">0 </w:t>
            </w:r>
          </w:p>
          <w:p w14:paraId="2FDED7B5" w14:textId="77777777" w:rsidR="00C075F6" w:rsidRPr="005011B1" w:rsidRDefault="00C075F6" w:rsidP="003C247B">
            <w:pPr>
              <w:rPr>
                <w:color w:val="000000"/>
                <w:sz w:val="22"/>
                <w:szCs w:val="22"/>
                <w:lang w:val="en-US"/>
              </w:rPr>
            </w:pPr>
            <w:r w:rsidRPr="005011B1">
              <w:rPr>
                <w:color w:val="000000"/>
                <w:sz w:val="22"/>
                <w:szCs w:val="22"/>
                <w:lang w:val="en-US"/>
              </w:rPr>
              <w:t>(0.0%)</w:t>
            </w:r>
          </w:p>
        </w:tc>
        <w:tc>
          <w:tcPr>
            <w:tcW w:w="637" w:type="pct"/>
            <w:shd w:val="clear" w:color="auto" w:fill="auto"/>
          </w:tcPr>
          <w:p w14:paraId="13061845" w14:textId="77777777" w:rsidR="00C075F6" w:rsidRPr="005011B1" w:rsidRDefault="00C075F6" w:rsidP="003C247B">
            <w:pPr>
              <w:rPr>
                <w:color w:val="000000"/>
                <w:sz w:val="22"/>
                <w:szCs w:val="22"/>
                <w:lang w:val="en-US"/>
              </w:rPr>
            </w:pPr>
            <w:r w:rsidRPr="005011B1">
              <w:rPr>
                <w:color w:val="000000"/>
                <w:sz w:val="22"/>
                <w:szCs w:val="22"/>
                <w:lang w:val="en-US"/>
              </w:rPr>
              <w:t>2872</w:t>
            </w:r>
          </w:p>
          <w:p w14:paraId="6BDDCD8E" w14:textId="77777777" w:rsidR="00C075F6" w:rsidRPr="005011B1" w:rsidRDefault="00C075F6" w:rsidP="003C247B">
            <w:pPr>
              <w:rPr>
                <w:color w:val="000000"/>
                <w:sz w:val="22"/>
                <w:szCs w:val="22"/>
                <w:lang w:val="en-US"/>
              </w:rPr>
            </w:pPr>
            <w:r w:rsidRPr="005011B1">
              <w:rPr>
                <w:color w:val="000000"/>
                <w:sz w:val="22"/>
                <w:szCs w:val="22"/>
                <w:lang w:val="en-US"/>
              </w:rPr>
              <w:t>(9.8%)</w:t>
            </w:r>
          </w:p>
        </w:tc>
      </w:tr>
      <w:tr w:rsidR="00C075F6" w:rsidRPr="005011B1" w14:paraId="3A334ACE" w14:textId="77777777" w:rsidTr="003C247B">
        <w:trPr>
          <w:trHeight w:val="1300"/>
        </w:trPr>
        <w:tc>
          <w:tcPr>
            <w:tcW w:w="1380" w:type="pct"/>
            <w:tcBorders>
              <w:top w:val="single" w:sz="4" w:space="0" w:color="7F7F7F"/>
              <w:bottom w:val="single" w:sz="4" w:space="0" w:color="7F7F7F"/>
            </w:tcBorders>
            <w:shd w:val="clear" w:color="auto" w:fill="auto"/>
            <w:hideMark/>
          </w:tcPr>
          <w:p w14:paraId="6EB6B903" w14:textId="0856D308" w:rsidR="00C075F6" w:rsidRPr="005011B1" w:rsidRDefault="00C075F6" w:rsidP="008B0BC5">
            <w:pPr>
              <w:rPr>
                <w:b/>
                <w:bCs/>
                <w:color w:val="000000"/>
                <w:sz w:val="22"/>
                <w:szCs w:val="22"/>
                <w:lang w:val="en-US"/>
              </w:rPr>
            </w:pPr>
            <w:r w:rsidRPr="005011B1">
              <w:rPr>
                <w:b/>
                <w:bCs/>
                <w:color w:val="000000"/>
                <w:sz w:val="22"/>
                <w:szCs w:val="22"/>
                <w:lang w:val="en-US"/>
              </w:rPr>
              <w:t>Infection/</w:t>
            </w:r>
            <w:r w:rsidR="008B0BC5">
              <w:rPr>
                <w:b/>
                <w:bCs/>
                <w:color w:val="000000"/>
                <w:sz w:val="22"/>
                <w:szCs w:val="22"/>
                <w:lang w:val="en-US"/>
              </w:rPr>
              <w:t>Erosion</w:t>
            </w:r>
          </w:p>
        </w:tc>
        <w:tc>
          <w:tcPr>
            <w:tcW w:w="497" w:type="pct"/>
            <w:tcBorders>
              <w:top w:val="single" w:sz="4" w:space="0" w:color="7F7F7F"/>
              <w:bottom w:val="single" w:sz="4" w:space="0" w:color="7F7F7F"/>
            </w:tcBorders>
            <w:shd w:val="clear" w:color="auto" w:fill="auto"/>
            <w:hideMark/>
          </w:tcPr>
          <w:p w14:paraId="72E48DFD" w14:textId="77777777" w:rsidR="00C075F6" w:rsidRPr="005011B1" w:rsidRDefault="00C075F6" w:rsidP="003C247B">
            <w:pPr>
              <w:rPr>
                <w:color w:val="000000"/>
                <w:sz w:val="22"/>
                <w:szCs w:val="22"/>
                <w:lang w:val="en-US"/>
              </w:rPr>
            </w:pPr>
            <w:r w:rsidRPr="005011B1">
              <w:rPr>
                <w:color w:val="000000"/>
                <w:sz w:val="22"/>
                <w:szCs w:val="22"/>
                <w:lang w:val="en-US"/>
              </w:rPr>
              <w:t>46 (1.2%)</w:t>
            </w:r>
          </w:p>
        </w:tc>
        <w:tc>
          <w:tcPr>
            <w:tcW w:w="497" w:type="pct"/>
            <w:tcBorders>
              <w:top w:val="single" w:sz="4" w:space="0" w:color="7F7F7F"/>
              <w:bottom w:val="single" w:sz="4" w:space="0" w:color="7F7F7F"/>
            </w:tcBorders>
            <w:shd w:val="clear" w:color="auto" w:fill="auto"/>
            <w:hideMark/>
          </w:tcPr>
          <w:p w14:paraId="45282450" w14:textId="77777777" w:rsidR="00C075F6" w:rsidRPr="005011B1" w:rsidRDefault="00C075F6" w:rsidP="003C247B">
            <w:pPr>
              <w:rPr>
                <w:color w:val="000000"/>
                <w:sz w:val="22"/>
                <w:szCs w:val="22"/>
                <w:lang w:val="en-US"/>
              </w:rPr>
            </w:pPr>
            <w:r w:rsidRPr="005011B1">
              <w:rPr>
                <w:color w:val="000000"/>
                <w:sz w:val="22"/>
                <w:szCs w:val="22"/>
                <w:lang w:val="en-US"/>
              </w:rPr>
              <w:t>80 (1.7%)</w:t>
            </w:r>
          </w:p>
        </w:tc>
        <w:tc>
          <w:tcPr>
            <w:tcW w:w="497" w:type="pct"/>
            <w:tcBorders>
              <w:top w:val="single" w:sz="4" w:space="0" w:color="7F7F7F"/>
              <w:bottom w:val="single" w:sz="4" w:space="0" w:color="7F7F7F"/>
            </w:tcBorders>
            <w:shd w:val="clear" w:color="auto" w:fill="auto"/>
            <w:hideMark/>
          </w:tcPr>
          <w:p w14:paraId="3005DF37" w14:textId="77777777" w:rsidR="00C075F6" w:rsidRPr="005011B1" w:rsidRDefault="00C075F6" w:rsidP="003C247B">
            <w:pPr>
              <w:rPr>
                <w:color w:val="000000"/>
                <w:sz w:val="22"/>
                <w:szCs w:val="22"/>
                <w:lang w:val="en-US"/>
              </w:rPr>
            </w:pPr>
            <w:r w:rsidRPr="005011B1">
              <w:rPr>
                <w:color w:val="000000"/>
                <w:sz w:val="22"/>
                <w:szCs w:val="22"/>
                <w:lang w:val="en-US"/>
              </w:rPr>
              <w:t>182 (1.8%)</w:t>
            </w:r>
          </w:p>
        </w:tc>
        <w:tc>
          <w:tcPr>
            <w:tcW w:w="497" w:type="pct"/>
            <w:tcBorders>
              <w:top w:val="single" w:sz="4" w:space="0" w:color="7F7F7F"/>
              <w:bottom w:val="single" w:sz="4" w:space="0" w:color="7F7F7F"/>
            </w:tcBorders>
            <w:shd w:val="clear" w:color="auto" w:fill="auto"/>
            <w:hideMark/>
          </w:tcPr>
          <w:p w14:paraId="6C5105C3" w14:textId="77777777" w:rsidR="00C075F6" w:rsidRPr="005011B1" w:rsidRDefault="00C075F6" w:rsidP="003C247B">
            <w:pPr>
              <w:rPr>
                <w:color w:val="000000"/>
                <w:sz w:val="22"/>
                <w:szCs w:val="22"/>
                <w:lang w:val="en-US"/>
              </w:rPr>
            </w:pPr>
            <w:r w:rsidRPr="005011B1">
              <w:rPr>
                <w:color w:val="000000"/>
                <w:sz w:val="22"/>
                <w:szCs w:val="22"/>
                <w:lang w:val="en-US"/>
              </w:rPr>
              <w:t>38 (1.2%)</w:t>
            </w:r>
          </w:p>
        </w:tc>
        <w:tc>
          <w:tcPr>
            <w:tcW w:w="497" w:type="pct"/>
            <w:tcBorders>
              <w:top w:val="single" w:sz="4" w:space="0" w:color="7F7F7F"/>
              <w:bottom w:val="single" w:sz="4" w:space="0" w:color="7F7F7F"/>
            </w:tcBorders>
            <w:shd w:val="clear" w:color="auto" w:fill="auto"/>
            <w:hideMark/>
          </w:tcPr>
          <w:p w14:paraId="7B57004C" w14:textId="77777777" w:rsidR="00C075F6" w:rsidRPr="005011B1" w:rsidRDefault="00C075F6" w:rsidP="003C247B">
            <w:pPr>
              <w:rPr>
                <w:color w:val="000000"/>
                <w:sz w:val="22"/>
                <w:szCs w:val="22"/>
                <w:lang w:val="en-US"/>
              </w:rPr>
            </w:pPr>
            <w:r w:rsidRPr="005011B1">
              <w:rPr>
                <w:color w:val="000000"/>
                <w:sz w:val="22"/>
                <w:szCs w:val="22"/>
                <w:lang w:val="en-US"/>
              </w:rPr>
              <w:t>66 (1.9%)</w:t>
            </w:r>
          </w:p>
        </w:tc>
        <w:tc>
          <w:tcPr>
            <w:tcW w:w="497" w:type="pct"/>
            <w:tcBorders>
              <w:top w:val="single" w:sz="4" w:space="0" w:color="7F7F7F"/>
              <w:bottom w:val="single" w:sz="4" w:space="0" w:color="7F7F7F"/>
            </w:tcBorders>
            <w:shd w:val="clear" w:color="auto" w:fill="auto"/>
            <w:hideMark/>
          </w:tcPr>
          <w:p w14:paraId="53B36A8E" w14:textId="77777777" w:rsidR="00C075F6" w:rsidRPr="005011B1" w:rsidRDefault="00C075F6" w:rsidP="003C247B">
            <w:pPr>
              <w:rPr>
                <w:color w:val="000000"/>
                <w:sz w:val="22"/>
                <w:szCs w:val="22"/>
                <w:lang w:val="en-US"/>
              </w:rPr>
            </w:pPr>
            <w:r w:rsidRPr="005011B1">
              <w:rPr>
                <w:color w:val="000000"/>
                <w:sz w:val="22"/>
                <w:szCs w:val="22"/>
                <w:lang w:val="en-US"/>
              </w:rPr>
              <w:t>73 (2.0%)</w:t>
            </w:r>
          </w:p>
        </w:tc>
        <w:tc>
          <w:tcPr>
            <w:tcW w:w="637" w:type="pct"/>
            <w:tcBorders>
              <w:top w:val="single" w:sz="4" w:space="0" w:color="7F7F7F"/>
              <w:bottom w:val="single" w:sz="4" w:space="0" w:color="7F7F7F"/>
            </w:tcBorders>
            <w:shd w:val="clear" w:color="auto" w:fill="auto"/>
          </w:tcPr>
          <w:p w14:paraId="250BA8AC" w14:textId="77777777" w:rsidR="00C075F6" w:rsidRPr="005011B1" w:rsidRDefault="00C075F6" w:rsidP="003C247B">
            <w:pPr>
              <w:rPr>
                <w:color w:val="000000"/>
                <w:sz w:val="22"/>
                <w:szCs w:val="22"/>
                <w:lang w:val="en-US"/>
              </w:rPr>
            </w:pPr>
            <w:r w:rsidRPr="005011B1">
              <w:rPr>
                <w:color w:val="000000"/>
                <w:sz w:val="22"/>
                <w:szCs w:val="22"/>
                <w:lang w:val="en-US"/>
              </w:rPr>
              <w:t>485</w:t>
            </w:r>
          </w:p>
          <w:p w14:paraId="4B529537" w14:textId="77777777" w:rsidR="00C075F6" w:rsidRPr="005011B1" w:rsidRDefault="00C075F6" w:rsidP="003C247B">
            <w:pPr>
              <w:rPr>
                <w:color w:val="000000"/>
                <w:sz w:val="22"/>
                <w:szCs w:val="22"/>
                <w:lang w:val="en-US"/>
              </w:rPr>
            </w:pPr>
            <w:r w:rsidRPr="005011B1">
              <w:rPr>
                <w:color w:val="000000"/>
                <w:sz w:val="22"/>
                <w:szCs w:val="22"/>
                <w:lang w:val="en-US"/>
              </w:rPr>
              <w:t>(1.6%)</w:t>
            </w:r>
          </w:p>
        </w:tc>
      </w:tr>
      <w:tr w:rsidR="00C075F6" w:rsidRPr="005011B1" w14:paraId="75686071" w14:textId="77777777" w:rsidTr="003C247B">
        <w:trPr>
          <w:trHeight w:val="1300"/>
        </w:trPr>
        <w:tc>
          <w:tcPr>
            <w:tcW w:w="1380" w:type="pct"/>
            <w:shd w:val="clear" w:color="auto" w:fill="auto"/>
            <w:hideMark/>
          </w:tcPr>
          <w:p w14:paraId="5CC982EC" w14:textId="77777777" w:rsidR="00C075F6" w:rsidRPr="005011B1" w:rsidRDefault="00C075F6" w:rsidP="003C247B">
            <w:pPr>
              <w:rPr>
                <w:b/>
                <w:bCs/>
                <w:color w:val="000000"/>
                <w:sz w:val="22"/>
                <w:szCs w:val="22"/>
                <w:lang w:val="en-US"/>
              </w:rPr>
            </w:pPr>
            <w:r w:rsidRPr="005011B1">
              <w:rPr>
                <w:b/>
                <w:bCs/>
                <w:color w:val="000000"/>
                <w:sz w:val="22"/>
                <w:szCs w:val="22"/>
                <w:lang w:val="en-US"/>
              </w:rPr>
              <w:t>Not Available</w:t>
            </w:r>
          </w:p>
        </w:tc>
        <w:tc>
          <w:tcPr>
            <w:tcW w:w="497" w:type="pct"/>
            <w:shd w:val="clear" w:color="auto" w:fill="auto"/>
            <w:hideMark/>
          </w:tcPr>
          <w:p w14:paraId="39B07984" w14:textId="77777777" w:rsidR="00C075F6" w:rsidRPr="005011B1" w:rsidRDefault="00C075F6" w:rsidP="003C247B">
            <w:pPr>
              <w:rPr>
                <w:color w:val="000000"/>
                <w:sz w:val="22"/>
                <w:szCs w:val="22"/>
                <w:lang w:val="en-US"/>
              </w:rPr>
            </w:pPr>
            <w:r w:rsidRPr="005011B1">
              <w:rPr>
                <w:color w:val="000000"/>
                <w:sz w:val="22"/>
                <w:szCs w:val="22"/>
                <w:lang w:val="en-US"/>
              </w:rPr>
              <w:t>285 (7.5%)</w:t>
            </w:r>
          </w:p>
        </w:tc>
        <w:tc>
          <w:tcPr>
            <w:tcW w:w="497" w:type="pct"/>
            <w:shd w:val="clear" w:color="auto" w:fill="auto"/>
            <w:hideMark/>
          </w:tcPr>
          <w:p w14:paraId="4232985E" w14:textId="77777777" w:rsidR="00C075F6" w:rsidRPr="005011B1" w:rsidRDefault="00C075F6" w:rsidP="003C247B">
            <w:pPr>
              <w:rPr>
                <w:color w:val="000000"/>
                <w:sz w:val="22"/>
                <w:szCs w:val="22"/>
                <w:lang w:val="en-US"/>
              </w:rPr>
            </w:pPr>
            <w:r w:rsidRPr="005011B1">
              <w:rPr>
                <w:color w:val="000000"/>
                <w:sz w:val="22"/>
                <w:szCs w:val="22"/>
                <w:lang w:val="en-US"/>
              </w:rPr>
              <w:t>268 (5.7%)</w:t>
            </w:r>
          </w:p>
        </w:tc>
        <w:tc>
          <w:tcPr>
            <w:tcW w:w="497" w:type="pct"/>
            <w:shd w:val="clear" w:color="auto" w:fill="auto"/>
            <w:hideMark/>
          </w:tcPr>
          <w:p w14:paraId="2A0C18B4" w14:textId="77777777" w:rsidR="00C075F6" w:rsidRPr="005011B1" w:rsidRDefault="00C075F6" w:rsidP="003C247B">
            <w:pPr>
              <w:rPr>
                <w:color w:val="000000"/>
                <w:sz w:val="22"/>
                <w:szCs w:val="22"/>
                <w:lang w:val="en-US"/>
              </w:rPr>
            </w:pPr>
            <w:r w:rsidRPr="005011B1">
              <w:rPr>
                <w:color w:val="000000"/>
                <w:sz w:val="22"/>
                <w:szCs w:val="22"/>
                <w:lang w:val="en-US"/>
              </w:rPr>
              <w:t>512 (5.0%)</w:t>
            </w:r>
          </w:p>
        </w:tc>
        <w:tc>
          <w:tcPr>
            <w:tcW w:w="497" w:type="pct"/>
            <w:shd w:val="clear" w:color="auto" w:fill="auto"/>
            <w:hideMark/>
          </w:tcPr>
          <w:p w14:paraId="2D1C80F7" w14:textId="77777777" w:rsidR="00C075F6" w:rsidRPr="005011B1" w:rsidRDefault="00C075F6" w:rsidP="003C247B">
            <w:pPr>
              <w:rPr>
                <w:color w:val="000000"/>
                <w:sz w:val="22"/>
                <w:szCs w:val="22"/>
                <w:lang w:val="en-US"/>
              </w:rPr>
            </w:pPr>
            <w:r w:rsidRPr="005011B1">
              <w:rPr>
                <w:color w:val="000000"/>
                <w:sz w:val="22"/>
                <w:szCs w:val="22"/>
                <w:lang w:val="en-US"/>
              </w:rPr>
              <w:t>188 (5.7%)</w:t>
            </w:r>
          </w:p>
        </w:tc>
        <w:tc>
          <w:tcPr>
            <w:tcW w:w="497" w:type="pct"/>
            <w:shd w:val="clear" w:color="auto" w:fill="auto"/>
            <w:hideMark/>
          </w:tcPr>
          <w:p w14:paraId="398C59D3" w14:textId="77777777" w:rsidR="00C075F6" w:rsidRPr="005011B1" w:rsidRDefault="00C075F6" w:rsidP="003C247B">
            <w:pPr>
              <w:rPr>
                <w:color w:val="000000"/>
                <w:sz w:val="22"/>
                <w:szCs w:val="22"/>
                <w:lang w:val="en-US"/>
              </w:rPr>
            </w:pPr>
            <w:r w:rsidRPr="005011B1">
              <w:rPr>
                <w:color w:val="000000"/>
                <w:sz w:val="22"/>
                <w:szCs w:val="22"/>
                <w:lang w:val="en-US"/>
              </w:rPr>
              <w:t>194 (5.6%)</w:t>
            </w:r>
          </w:p>
        </w:tc>
        <w:tc>
          <w:tcPr>
            <w:tcW w:w="497" w:type="pct"/>
            <w:shd w:val="clear" w:color="auto" w:fill="auto"/>
            <w:hideMark/>
          </w:tcPr>
          <w:p w14:paraId="585EC22D" w14:textId="77777777" w:rsidR="00C075F6" w:rsidRPr="005011B1" w:rsidRDefault="00C075F6" w:rsidP="003C247B">
            <w:pPr>
              <w:rPr>
                <w:color w:val="000000"/>
                <w:sz w:val="22"/>
                <w:szCs w:val="22"/>
                <w:lang w:val="en-US"/>
              </w:rPr>
            </w:pPr>
            <w:r w:rsidRPr="005011B1">
              <w:rPr>
                <w:color w:val="000000"/>
                <w:sz w:val="22"/>
                <w:szCs w:val="22"/>
                <w:lang w:val="en-US"/>
              </w:rPr>
              <w:t>177 (4.9%)</w:t>
            </w:r>
          </w:p>
        </w:tc>
        <w:tc>
          <w:tcPr>
            <w:tcW w:w="637" w:type="pct"/>
            <w:shd w:val="clear" w:color="auto" w:fill="auto"/>
          </w:tcPr>
          <w:p w14:paraId="464C1FF9" w14:textId="77777777" w:rsidR="00C075F6" w:rsidRPr="005011B1" w:rsidRDefault="00C075F6" w:rsidP="003C247B">
            <w:pPr>
              <w:rPr>
                <w:color w:val="000000"/>
                <w:sz w:val="22"/>
                <w:szCs w:val="22"/>
                <w:lang w:val="en-US"/>
              </w:rPr>
            </w:pPr>
            <w:r w:rsidRPr="005011B1">
              <w:rPr>
                <w:color w:val="000000"/>
                <w:sz w:val="22"/>
                <w:szCs w:val="22"/>
                <w:lang w:val="en-US"/>
              </w:rPr>
              <w:t>1624</w:t>
            </w:r>
          </w:p>
          <w:p w14:paraId="71737550" w14:textId="77777777" w:rsidR="00C075F6" w:rsidRPr="005011B1" w:rsidRDefault="00C075F6" w:rsidP="003C247B">
            <w:pPr>
              <w:rPr>
                <w:color w:val="000000"/>
                <w:sz w:val="22"/>
                <w:szCs w:val="22"/>
                <w:lang w:val="en-US"/>
              </w:rPr>
            </w:pPr>
            <w:r w:rsidRPr="005011B1">
              <w:rPr>
                <w:color w:val="000000"/>
                <w:sz w:val="22"/>
                <w:szCs w:val="22"/>
                <w:lang w:val="en-US"/>
              </w:rPr>
              <w:t>(5.6%)</w:t>
            </w:r>
          </w:p>
        </w:tc>
      </w:tr>
    </w:tbl>
    <w:p w14:paraId="4048BBEC" w14:textId="77777777" w:rsidR="00C075F6" w:rsidRDefault="00C075F6" w:rsidP="0031400E">
      <w:pPr>
        <w:spacing w:line="360" w:lineRule="auto"/>
        <w:rPr>
          <w:rFonts w:ascii="Calibri Light" w:eastAsia="Yu Gothic Light" w:hAnsi="Calibri Light"/>
          <w:iCs/>
          <w:color w:val="000000"/>
          <w:lang w:val="en-US"/>
        </w:rPr>
      </w:pPr>
    </w:p>
    <w:p w14:paraId="415E23BA" w14:textId="77777777" w:rsidR="00C075F6" w:rsidRDefault="00C075F6">
      <w:pPr>
        <w:rPr>
          <w:rFonts w:ascii="Calibri Light" w:eastAsia="Yu Gothic Light" w:hAnsi="Calibri Light"/>
          <w:iCs/>
          <w:color w:val="000000"/>
          <w:lang w:val="en-US"/>
        </w:rPr>
      </w:pPr>
      <w:r>
        <w:rPr>
          <w:rFonts w:ascii="Calibri Light" w:eastAsia="Yu Gothic Light" w:hAnsi="Calibri Light"/>
          <w:iCs/>
          <w:color w:val="000000"/>
          <w:lang w:val="en-US"/>
        </w:rPr>
        <w:br w:type="page"/>
      </w:r>
    </w:p>
    <w:p w14:paraId="538D6BFD" w14:textId="77777777" w:rsidR="00C075F6" w:rsidRDefault="00C075F6" w:rsidP="0031400E">
      <w:pPr>
        <w:spacing w:line="360" w:lineRule="auto"/>
        <w:rPr>
          <w:rFonts w:ascii="Calibri Light" w:eastAsia="Yu Gothic Light" w:hAnsi="Calibri Light"/>
          <w:iCs/>
          <w:color w:val="000000"/>
          <w:lang w:val="en-US"/>
        </w:rPr>
      </w:pPr>
    </w:p>
    <w:p w14:paraId="7374A572" w14:textId="77777777" w:rsidR="0031400E" w:rsidRDefault="005D56AD" w:rsidP="0031400E">
      <w:pPr>
        <w:spacing w:line="360" w:lineRule="auto"/>
        <w:rPr>
          <w:rFonts w:ascii="Calibri Light" w:eastAsia="Yu Gothic Light" w:hAnsi="Calibri Light"/>
          <w:iCs/>
          <w:color w:val="000000"/>
          <w:lang w:val="en-US"/>
        </w:rPr>
      </w:pPr>
      <w:r w:rsidRPr="005011B1">
        <w:rPr>
          <w:rFonts w:ascii="Calibri Light" w:eastAsia="Yu Gothic Light" w:hAnsi="Calibri Light"/>
          <w:iCs/>
          <w:color w:val="000000"/>
          <w:sz w:val="26"/>
          <w:lang w:val="en-US"/>
        </w:rPr>
        <w:t xml:space="preserve"> </w:t>
      </w:r>
      <w:r w:rsidR="000E1DA6" w:rsidRPr="00967948">
        <w:rPr>
          <w:rFonts w:ascii="Calibri Light" w:eastAsia="Yu Gothic Light" w:hAnsi="Calibri Light"/>
          <w:iCs/>
          <w:color w:val="000000"/>
          <w:lang w:val="en-US"/>
        </w:rPr>
        <w:t xml:space="preserve">Table </w:t>
      </w:r>
      <w:r w:rsidR="000339E0" w:rsidRPr="00967948">
        <w:rPr>
          <w:rFonts w:ascii="Calibri Light" w:eastAsia="Yu Gothic Light" w:hAnsi="Calibri Light"/>
          <w:iCs/>
          <w:color w:val="000000"/>
          <w:lang w:val="en-US"/>
        </w:rPr>
        <w:t>4</w:t>
      </w:r>
      <w:r w:rsidR="000E1DA6" w:rsidRPr="00967948">
        <w:rPr>
          <w:rFonts w:ascii="Calibri Light" w:eastAsia="Yu Gothic Light" w:hAnsi="Calibri Light"/>
          <w:iCs/>
          <w:color w:val="000000"/>
          <w:lang w:val="en-US"/>
        </w:rPr>
        <w:t xml:space="preserve">. Causes of </w:t>
      </w:r>
      <w:r w:rsidR="005A5A7A" w:rsidRPr="00967948">
        <w:rPr>
          <w:rFonts w:ascii="Calibri Light" w:eastAsia="Yu Gothic Light" w:hAnsi="Calibri Light"/>
          <w:iCs/>
          <w:color w:val="000000"/>
          <w:lang w:val="en-US"/>
        </w:rPr>
        <w:t>replacement</w:t>
      </w:r>
      <w:r w:rsidR="000E1DA6" w:rsidRPr="00967948">
        <w:rPr>
          <w:rFonts w:ascii="Calibri Light" w:eastAsia="Yu Gothic Light" w:hAnsi="Calibri Light"/>
          <w:iCs/>
          <w:color w:val="000000"/>
          <w:lang w:val="en-US"/>
        </w:rPr>
        <w:t xml:space="preserve"> before and from calendar 2012 year. </w:t>
      </w:r>
      <w:r w:rsidR="00087799" w:rsidRPr="00967948">
        <w:rPr>
          <w:rFonts w:ascii="Calibri Light" w:eastAsia="Yu Gothic Light" w:hAnsi="Calibri Light"/>
          <w:iCs/>
          <w:color w:val="000000"/>
          <w:lang w:val="en-US"/>
        </w:rPr>
        <w:t xml:space="preserve">P&lt;0,001. </w:t>
      </w:r>
      <w:r w:rsidR="000E1DA6" w:rsidRPr="00967948">
        <w:rPr>
          <w:rFonts w:ascii="Calibri Light" w:eastAsia="Yu Gothic Light" w:hAnsi="Calibri Light"/>
          <w:iCs/>
          <w:color w:val="000000"/>
          <w:lang w:val="en-US"/>
        </w:rPr>
        <w:t xml:space="preserve">Data are expressed as count and percentage. </w:t>
      </w:r>
    </w:p>
    <w:p w14:paraId="5CFBECC4" w14:textId="77777777" w:rsidR="00C075F6" w:rsidRDefault="00C075F6" w:rsidP="0031400E">
      <w:pPr>
        <w:spacing w:line="360" w:lineRule="auto"/>
        <w:rPr>
          <w:rFonts w:ascii="Calibri Light" w:eastAsia="Yu Gothic Light" w:hAnsi="Calibri Light"/>
          <w:iCs/>
          <w:color w:val="000000"/>
          <w:lang w:val="en-US"/>
        </w:rPr>
      </w:pPr>
    </w:p>
    <w:tbl>
      <w:tblPr>
        <w:tblW w:w="0" w:type="auto"/>
        <w:tblBorders>
          <w:top w:val="single" w:sz="4" w:space="0" w:color="7F7F7F"/>
          <w:bottom w:val="single" w:sz="4" w:space="0" w:color="7F7F7F"/>
        </w:tblBorders>
        <w:tblLook w:val="04A0" w:firstRow="1" w:lastRow="0" w:firstColumn="1" w:lastColumn="0" w:noHBand="0" w:noVBand="1"/>
      </w:tblPr>
      <w:tblGrid>
        <w:gridCol w:w="3019"/>
        <w:gridCol w:w="3000"/>
        <w:gridCol w:w="3001"/>
      </w:tblGrid>
      <w:tr w:rsidR="00C075F6" w:rsidRPr="005011B1" w14:paraId="205FA14C" w14:textId="77777777" w:rsidTr="003C247B">
        <w:tc>
          <w:tcPr>
            <w:tcW w:w="3207" w:type="dxa"/>
            <w:tcBorders>
              <w:bottom w:val="single" w:sz="4" w:space="0" w:color="7F7F7F"/>
            </w:tcBorders>
            <w:shd w:val="clear" w:color="auto" w:fill="auto"/>
          </w:tcPr>
          <w:p w14:paraId="47B6F9D6" w14:textId="77777777" w:rsidR="00C075F6" w:rsidRPr="005011B1" w:rsidRDefault="00C075F6" w:rsidP="003C247B">
            <w:pPr>
              <w:spacing w:line="360" w:lineRule="auto"/>
              <w:rPr>
                <w:b/>
                <w:bCs/>
                <w:iCs/>
                <w:color w:val="000000"/>
                <w:lang w:val="en-US"/>
              </w:rPr>
            </w:pPr>
          </w:p>
        </w:tc>
        <w:tc>
          <w:tcPr>
            <w:tcW w:w="3207" w:type="dxa"/>
            <w:tcBorders>
              <w:bottom w:val="single" w:sz="4" w:space="0" w:color="7F7F7F"/>
            </w:tcBorders>
            <w:shd w:val="clear" w:color="auto" w:fill="auto"/>
          </w:tcPr>
          <w:p w14:paraId="519B7064" w14:textId="77777777" w:rsidR="00C075F6" w:rsidRPr="005011B1" w:rsidRDefault="00C075F6" w:rsidP="003C247B">
            <w:pPr>
              <w:spacing w:line="360" w:lineRule="auto"/>
              <w:rPr>
                <w:b/>
                <w:bCs/>
                <w:iCs/>
                <w:color w:val="000000"/>
                <w:lang w:val="en-US"/>
              </w:rPr>
            </w:pPr>
            <w:r w:rsidRPr="005011B1">
              <w:rPr>
                <w:b/>
                <w:bCs/>
                <w:color w:val="000000"/>
                <w:lang w:val="en-US"/>
              </w:rPr>
              <w:t>Explantation before calendar 2012 year</w:t>
            </w:r>
          </w:p>
        </w:tc>
        <w:tc>
          <w:tcPr>
            <w:tcW w:w="3208" w:type="dxa"/>
            <w:tcBorders>
              <w:bottom w:val="single" w:sz="4" w:space="0" w:color="7F7F7F"/>
            </w:tcBorders>
            <w:shd w:val="clear" w:color="auto" w:fill="auto"/>
          </w:tcPr>
          <w:p w14:paraId="53338A83" w14:textId="77777777" w:rsidR="00C075F6" w:rsidRPr="005011B1" w:rsidRDefault="00C075F6" w:rsidP="003C247B">
            <w:pPr>
              <w:spacing w:line="360" w:lineRule="auto"/>
              <w:rPr>
                <w:color w:val="000000"/>
                <w:lang w:val="en-US"/>
              </w:rPr>
            </w:pPr>
            <w:r w:rsidRPr="005011B1">
              <w:rPr>
                <w:b/>
                <w:bCs/>
                <w:color w:val="000000"/>
                <w:lang w:val="en-US"/>
              </w:rPr>
              <w:t>Explantation from</w:t>
            </w:r>
          </w:p>
          <w:p w14:paraId="7B55A9CA" w14:textId="77777777" w:rsidR="00C075F6" w:rsidRPr="005011B1" w:rsidRDefault="00C075F6" w:rsidP="003C247B">
            <w:pPr>
              <w:spacing w:line="360" w:lineRule="auto"/>
              <w:rPr>
                <w:b/>
                <w:bCs/>
                <w:iCs/>
                <w:color w:val="000000"/>
                <w:lang w:val="en-US"/>
              </w:rPr>
            </w:pPr>
            <w:r w:rsidRPr="005011B1">
              <w:rPr>
                <w:b/>
                <w:bCs/>
                <w:color w:val="000000"/>
                <w:lang w:val="en-US"/>
              </w:rPr>
              <w:t>calendar 2012 year</w:t>
            </w:r>
          </w:p>
        </w:tc>
      </w:tr>
      <w:tr w:rsidR="00C075F6" w:rsidRPr="005011B1" w14:paraId="0734EB9C" w14:textId="77777777" w:rsidTr="003C247B">
        <w:tc>
          <w:tcPr>
            <w:tcW w:w="3207" w:type="dxa"/>
            <w:tcBorders>
              <w:top w:val="single" w:sz="4" w:space="0" w:color="7F7F7F"/>
              <w:bottom w:val="single" w:sz="4" w:space="0" w:color="7F7F7F"/>
            </w:tcBorders>
            <w:shd w:val="clear" w:color="auto" w:fill="auto"/>
          </w:tcPr>
          <w:p w14:paraId="0FBB9E47" w14:textId="77777777" w:rsidR="00C075F6" w:rsidRPr="005011B1" w:rsidRDefault="00C075F6" w:rsidP="003C247B">
            <w:pPr>
              <w:spacing w:line="360" w:lineRule="auto"/>
              <w:rPr>
                <w:b/>
                <w:bCs/>
                <w:iCs/>
                <w:color w:val="000000"/>
                <w:lang w:val="en-US"/>
              </w:rPr>
            </w:pPr>
            <w:r w:rsidRPr="005011B1">
              <w:rPr>
                <w:b/>
                <w:bCs/>
                <w:color w:val="000000"/>
                <w:lang w:val="en-US"/>
              </w:rPr>
              <w:t>Battery End of Life</w:t>
            </w:r>
          </w:p>
        </w:tc>
        <w:tc>
          <w:tcPr>
            <w:tcW w:w="3207" w:type="dxa"/>
            <w:tcBorders>
              <w:top w:val="single" w:sz="4" w:space="0" w:color="7F7F7F"/>
              <w:bottom w:val="single" w:sz="4" w:space="0" w:color="7F7F7F"/>
            </w:tcBorders>
            <w:shd w:val="clear" w:color="auto" w:fill="auto"/>
          </w:tcPr>
          <w:p w14:paraId="2BB3D014" w14:textId="77777777" w:rsidR="00C075F6" w:rsidRPr="005011B1" w:rsidRDefault="00C075F6" w:rsidP="003C247B">
            <w:pPr>
              <w:spacing w:line="360" w:lineRule="auto"/>
              <w:rPr>
                <w:rFonts w:ascii="Calibri Light" w:eastAsia="Yu Gothic Light" w:hAnsi="Calibri Light"/>
                <w:iCs/>
                <w:color w:val="000000"/>
                <w:sz w:val="26"/>
                <w:lang w:val="en-US"/>
              </w:rPr>
            </w:pPr>
            <w:r w:rsidRPr="005011B1">
              <w:rPr>
                <w:rFonts w:ascii="Calibri Light" w:eastAsia="Yu Gothic Light" w:hAnsi="Calibri Light"/>
                <w:iCs/>
                <w:color w:val="000000"/>
                <w:sz w:val="26"/>
                <w:lang w:val="en-US"/>
              </w:rPr>
              <w:t>9424 (72.4%)</w:t>
            </w:r>
          </w:p>
        </w:tc>
        <w:tc>
          <w:tcPr>
            <w:tcW w:w="3208" w:type="dxa"/>
            <w:tcBorders>
              <w:top w:val="single" w:sz="4" w:space="0" w:color="7F7F7F"/>
              <w:bottom w:val="single" w:sz="4" w:space="0" w:color="7F7F7F"/>
            </w:tcBorders>
            <w:shd w:val="clear" w:color="auto" w:fill="auto"/>
          </w:tcPr>
          <w:p w14:paraId="2C425147" w14:textId="77777777" w:rsidR="00C075F6" w:rsidRPr="005011B1" w:rsidRDefault="00C075F6" w:rsidP="003C247B">
            <w:pPr>
              <w:spacing w:line="360" w:lineRule="auto"/>
              <w:rPr>
                <w:rFonts w:ascii="Calibri Light" w:eastAsia="Yu Gothic Light" w:hAnsi="Calibri Light"/>
                <w:iCs/>
                <w:color w:val="000000"/>
                <w:sz w:val="26"/>
                <w:lang w:val="en-US"/>
              </w:rPr>
            </w:pPr>
            <w:r w:rsidRPr="005011B1">
              <w:rPr>
                <w:rFonts w:ascii="Calibri Light" w:eastAsia="Yu Gothic Light" w:hAnsi="Calibri Light"/>
                <w:iCs/>
                <w:color w:val="000000"/>
                <w:sz w:val="26"/>
                <w:lang w:val="en-US"/>
              </w:rPr>
              <w:t>13602 (84.2%)</w:t>
            </w:r>
          </w:p>
        </w:tc>
      </w:tr>
      <w:tr w:rsidR="00C075F6" w:rsidRPr="005011B1" w14:paraId="7859FAC0" w14:textId="77777777" w:rsidTr="003C247B">
        <w:tc>
          <w:tcPr>
            <w:tcW w:w="3207" w:type="dxa"/>
            <w:shd w:val="clear" w:color="auto" w:fill="auto"/>
          </w:tcPr>
          <w:p w14:paraId="143F78D8" w14:textId="77777777" w:rsidR="00C075F6" w:rsidRPr="005011B1" w:rsidRDefault="00C075F6" w:rsidP="003C247B">
            <w:pPr>
              <w:spacing w:line="360" w:lineRule="auto"/>
              <w:rPr>
                <w:b/>
                <w:bCs/>
                <w:color w:val="000000"/>
                <w:lang w:val="en-US"/>
              </w:rPr>
            </w:pPr>
            <w:r w:rsidRPr="005011B1">
              <w:rPr>
                <w:b/>
                <w:bCs/>
                <w:color w:val="000000"/>
                <w:lang w:val="en-US"/>
              </w:rPr>
              <w:t>CRT Upgrading</w:t>
            </w:r>
          </w:p>
        </w:tc>
        <w:tc>
          <w:tcPr>
            <w:tcW w:w="3207" w:type="dxa"/>
            <w:shd w:val="clear" w:color="auto" w:fill="auto"/>
          </w:tcPr>
          <w:p w14:paraId="620BC0A5" w14:textId="77777777" w:rsidR="00C075F6" w:rsidRPr="005011B1" w:rsidRDefault="00C075F6" w:rsidP="003C247B">
            <w:pPr>
              <w:spacing w:line="360" w:lineRule="auto"/>
              <w:rPr>
                <w:rFonts w:ascii="Calibri Light" w:eastAsia="Yu Gothic Light" w:hAnsi="Calibri Light"/>
                <w:iCs/>
                <w:color w:val="000000"/>
                <w:sz w:val="26"/>
                <w:lang w:val="en-US"/>
              </w:rPr>
            </w:pPr>
            <w:r w:rsidRPr="005011B1">
              <w:rPr>
                <w:rFonts w:ascii="Calibri Light" w:eastAsia="Yu Gothic Light" w:hAnsi="Calibri Light"/>
                <w:iCs/>
                <w:color w:val="000000"/>
                <w:sz w:val="26"/>
                <w:lang w:val="en-US"/>
              </w:rPr>
              <w:t>2141 (16.5%)</w:t>
            </w:r>
          </w:p>
        </w:tc>
        <w:tc>
          <w:tcPr>
            <w:tcW w:w="3208" w:type="dxa"/>
            <w:shd w:val="clear" w:color="auto" w:fill="auto"/>
          </w:tcPr>
          <w:p w14:paraId="77EA7366" w14:textId="77777777" w:rsidR="00C075F6" w:rsidRPr="005011B1" w:rsidRDefault="00C075F6" w:rsidP="003C247B">
            <w:pPr>
              <w:spacing w:line="360" w:lineRule="auto"/>
              <w:rPr>
                <w:rFonts w:ascii="Calibri Light" w:eastAsia="Yu Gothic Light" w:hAnsi="Calibri Light"/>
                <w:iCs/>
                <w:color w:val="000000"/>
                <w:sz w:val="26"/>
                <w:lang w:val="en-US"/>
              </w:rPr>
            </w:pPr>
            <w:r w:rsidRPr="005011B1">
              <w:rPr>
                <w:rFonts w:ascii="Calibri Light" w:eastAsia="Yu Gothic Light" w:hAnsi="Calibri Light"/>
                <w:iCs/>
                <w:color w:val="000000"/>
                <w:sz w:val="26"/>
                <w:lang w:val="en-US"/>
              </w:rPr>
              <w:t>1528 (9.5%)</w:t>
            </w:r>
          </w:p>
        </w:tc>
      </w:tr>
      <w:tr w:rsidR="00C075F6" w:rsidRPr="005011B1" w14:paraId="779B1991" w14:textId="77777777" w:rsidTr="003C247B">
        <w:tc>
          <w:tcPr>
            <w:tcW w:w="3207" w:type="dxa"/>
            <w:tcBorders>
              <w:top w:val="single" w:sz="4" w:space="0" w:color="7F7F7F"/>
              <w:bottom w:val="single" w:sz="4" w:space="0" w:color="7F7F7F"/>
            </w:tcBorders>
            <w:shd w:val="clear" w:color="auto" w:fill="auto"/>
          </w:tcPr>
          <w:p w14:paraId="2EF58AC4" w14:textId="05EA8AB0" w:rsidR="00C075F6" w:rsidRPr="005011B1" w:rsidRDefault="00C075F6" w:rsidP="003C247B">
            <w:pPr>
              <w:spacing w:line="360" w:lineRule="auto"/>
              <w:rPr>
                <w:b/>
                <w:bCs/>
                <w:iCs/>
                <w:color w:val="000000"/>
                <w:lang w:val="en-US"/>
              </w:rPr>
            </w:pPr>
            <w:r w:rsidRPr="005011B1">
              <w:rPr>
                <w:b/>
                <w:bCs/>
                <w:color w:val="000000"/>
                <w:lang w:val="en-US"/>
              </w:rPr>
              <w:t>Infection-</w:t>
            </w:r>
            <w:r w:rsidR="008B0BC5">
              <w:rPr>
                <w:b/>
                <w:bCs/>
                <w:color w:val="000000"/>
                <w:lang w:val="en-US"/>
              </w:rPr>
              <w:t>Erosion</w:t>
            </w:r>
          </w:p>
        </w:tc>
        <w:tc>
          <w:tcPr>
            <w:tcW w:w="3207" w:type="dxa"/>
            <w:tcBorders>
              <w:top w:val="single" w:sz="4" w:space="0" w:color="7F7F7F"/>
              <w:bottom w:val="single" w:sz="4" w:space="0" w:color="7F7F7F"/>
            </w:tcBorders>
            <w:shd w:val="clear" w:color="auto" w:fill="auto"/>
          </w:tcPr>
          <w:p w14:paraId="1CD95427" w14:textId="77777777" w:rsidR="00C075F6" w:rsidRPr="005011B1" w:rsidRDefault="00C075F6" w:rsidP="003C247B">
            <w:pPr>
              <w:spacing w:line="360" w:lineRule="auto"/>
              <w:rPr>
                <w:rFonts w:ascii="Calibri Light" w:eastAsia="Yu Gothic Light" w:hAnsi="Calibri Light"/>
                <w:iCs/>
                <w:color w:val="000000"/>
                <w:sz w:val="26"/>
                <w:lang w:val="en-US"/>
              </w:rPr>
            </w:pPr>
            <w:r w:rsidRPr="005011B1">
              <w:rPr>
                <w:rFonts w:ascii="Calibri Light" w:eastAsia="Yu Gothic Light" w:hAnsi="Calibri Light"/>
                <w:iCs/>
                <w:color w:val="000000"/>
                <w:sz w:val="26"/>
                <w:lang w:val="en-US"/>
              </w:rPr>
              <w:t>288 (2.2%)</w:t>
            </w:r>
          </w:p>
        </w:tc>
        <w:tc>
          <w:tcPr>
            <w:tcW w:w="3208" w:type="dxa"/>
            <w:tcBorders>
              <w:top w:val="single" w:sz="4" w:space="0" w:color="7F7F7F"/>
              <w:bottom w:val="single" w:sz="4" w:space="0" w:color="7F7F7F"/>
            </w:tcBorders>
            <w:shd w:val="clear" w:color="auto" w:fill="auto"/>
          </w:tcPr>
          <w:p w14:paraId="587E1291" w14:textId="77777777" w:rsidR="00C075F6" w:rsidRPr="005011B1" w:rsidRDefault="00C075F6" w:rsidP="003C247B">
            <w:pPr>
              <w:spacing w:line="360" w:lineRule="auto"/>
              <w:rPr>
                <w:rFonts w:ascii="Calibri Light" w:eastAsia="Yu Gothic Light" w:hAnsi="Calibri Light"/>
                <w:iCs/>
                <w:color w:val="000000"/>
                <w:sz w:val="26"/>
                <w:lang w:val="en-US"/>
              </w:rPr>
            </w:pPr>
            <w:r w:rsidRPr="005011B1">
              <w:rPr>
                <w:rFonts w:ascii="Calibri Light" w:eastAsia="Yu Gothic Light" w:hAnsi="Calibri Light"/>
                <w:iCs/>
                <w:color w:val="000000"/>
                <w:sz w:val="26"/>
                <w:lang w:val="en-US"/>
              </w:rPr>
              <w:t>197 (1.2%)</w:t>
            </w:r>
          </w:p>
        </w:tc>
      </w:tr>
      <w:tr w:rsidR="00C075F6" w:rsidRPr="005011B1" w14:paraId="6C47CE1B" w14:textId="77777777" w:rsidTr="003C247B">
        <w:tc>
          <w:tcPr>
            <w:tcW w:w="3207" w:type="dxa"/>
            <w:shd w:val="clear" w:color="auto" w:fill="auto"/>
          </w:tcPr>
          <w:p w14:paraId="1430C82A" w14:textId="77777777" w:rsidR="00C075F6" w:rsidRPr="005011B1" w:rsidRDefault="00C075F6" w:rsidP="003C247B">
            <w:pPr>
              <w:spacing w:line="360" w:lineRule="auto"/>
              <w:rPr>
                <w:b/>
                <w:bCs/>
                <w:iCs/>
                <w:color w:val="000000"/>
                <w:lang w:val="en-US"/>
              </w:rPr>
            </w:pPr>
            <w:r w:rsidRPr="005011B1">
              <w:rPr>
                <w:b/>
                <w:bCs/>
                <w:color w:val="000000"/>
                <w:lang w:val="en-US"/>
              </w:rPr>
              <w:t>Recall/System malfunction</w:t>
            </w:r>
          </w:p>
        </w:tc>
        <w:tc>
          <w:tcPr>
            <w:tcW w:w="3207" w:type="dxa"/>
            <w:shd w:val="clear" w:color="auto" w:fill="auto"/>
          </w:tcPr>
          <w:p w14:paraId="2E7BA9BB" w14:textId="77777777" w:rsidR="00C075F6" w:rsidRPr="005011B1" w:rsidRDefault="00C075F6" w:rsidP="003C247B">
            <w:pPr>
              <w:spacing w:line="360" w:lineRule="auto"/>
              <w:rPr>
                <w:rFonts w:ascii="Calibri Light" w:eastAsia="Yu Gothic Light" w:hAnsi="Calibri Light"/>
                <w:iCs/>
                <w:color w:val="000000"/>
                <w:sz w:val="26"/>
                <w:lang w:val="en-US"/>
              </w:rPr>
            </w:pPr>
            <w:r w:rsidRPr="005011B1">
              <w:rPr>
                <w:rFonts w:ascii="Calibri Light" w:eastAsia="Yu Gothic Light" w:hAnsi="Calibri Light"/>
                <w:iCs/>
                <w:color w:val="000000"/>
                <w:sz w:val="26"/>
                <w:lang w:val="en-US"/>
              </w:rPr>
              <w:t>163 (1.3%)</w:t>
            </w:r>
          </w:p>
        </w:tc>
        <w:tc>
          <w:tcPr>
            <w:tcW w:w="3208" w:type="dxa"/>
            <w:shd w:val="clear" w:color="auto" w:fill="auto"/>
          </w:tcPr>
          <w:p w14:paraId="592B46CB" w14:textId="77777777" w:rsidR="00C075F6" w:rsidRPr="005011B1" w:rsidRDefault="00C075F6" w:rsidP="003C247B">
            <w:pPr>
              <w:spacing w:line="360" w:lineRule="auto"/>
              <w:rPr>
                <w:rFonts w:ascii="Calibri Light" w:eastAsia="Yu Gothic Light" w:hAnsi="Calibri Light"/>
                <w:iCs/>
                <w:color w:val="000000"/>
                <w:sz w:val="26"/>
                <w:lang w:val="en-US"/>
              </w:rPr>
            </w:pPr>
            <w:r w:rsidRPr="005011B1">
              <w:rPr>
                <w:rFonts w:ascii="Calibri Light" w:eastAsia="Yu Gothic Light" w:hAnsi="Calibri Light"/>
                <w:iCs/>
                <w:color w:val="000000"/>
                <w:sz w:val="26"/>
                <w:lang w:val="en-US"/>
              </w:rPr>
              <w:t>191 (1.2%)</w:t>
            </w:r>
          </w:p>
        </w:tc>
      </w:tr>
      <w:tr w:rsidR="00C075F6" w:rsidRPr="005011B1" w14:paraId="584916C8" w14:textId="77777777" w:rsidTr="003C247B">
        <w:tc>
          <w:tcPr>
            <w:tcW w:w="3207" w:type="dxa"/>
            <w:tcBorders>
              <w:top w:val="single" w:sz="4" w:space="0" w:color="7F7F7F"/>
              <w:bottom w:val="single" w:sz="4" w:space="0" w:color="7F7F7F"/>
            </w:tcBorders>
            <w:shd w:val="clear" w:color="auto" w:fill="auto"/>
          </w:tcPr>
          <w:p w14:paraId="19BAE563" w14:textId="77777777" w:rsidR="00C075F6" w:rsidRPr="005011B1" w:rsidRDefault="00C075F6" w:rsidP="003C247B">
            <w:pPr>
              <w:spacing w:line="360" w:lineRule="auto"/>
              <w:rPr>
                <w:b/>
                <w:bCs/>
                <w:iCs/>
                <w:color w:val="000000"/>
                <w:lang w:val="en-US"/>
              </w:rPr>
            </w:pPr>
            <w:r w:rsidRPr="005011B1">
              <w:rPr>
                <w:b/>
                <w:bCs/>
                <w:color w:val="000000"/>
                <w:lang w:val="en-US"/>
              </w:rPr>
              <w:t>Not Available</w:t>
            </w:r>
          </w:p>
        </w:tc>
        <w:tc>
          <w:tcPr>
            <w:tcW w:w="3207" w:type="dxa"/>
            <w:tcBorders>
              <w:top w:val="single" w:sz="4" w:space="0" w:color="7F7F7F"/>
              <w:bottom w:val="single" w:sz="4" w:space="0" w:color="7F7F7F"/>
            </w:tcBorders>
            <w:shd w:val="clear" w:color="auto" w:fill="auto"/>
          </w:tcPr>
          <w:p w14:paraId="31FEB8F1" w14:textId="77777777" w:rsidR="00C075F6" w:rsidRPr="005011B1" w:rsidRDefault="00C075F6" w:rsidP="003C247B">
            <w:pPr>
              <w:spacing w:line="360" w:lineRule="auto"/>
              <w:rPr>
                <w:rFonts w:ascii="Calibri Light" w:eastAsia="Yu Gothic Light" w:hAnsi="Calibri Light"/>
                <w:iCs/>
                <w:color w:val="000000"/>
                <w:sz w:val="26"/>
                <w:lang w:val="en-US"/>
              </w:rPr>
            </w:pPr>
            <w:r w:rsidRPr="005011B1">
              <w:rPr>
                <w:rFonts w:ascii="Calibri Light" w:eastAsia="Yu Gothic Light" w:hAnsi="Calibri Light"/>
                <w:iCs/>
                <w:color w:val="000000"/>
                <w:sz w:val="26"/>
                <w:lang w:val="en-US"/>
              </w:rPr>
              <w:t>997 (7.7%)</w:t>
            </w:r>
          </w:p>
        </w:tc>
        <w:tc>
          <w:tcPr>
            <w:tcW w:w="3208" w:type="dxa"/>
            <w:tcBorders>
              <w:top w:val="single" w:sz="4" w:space="0" w:color="7F7F7F"/>
              <w:bottom w:val="single" w:sz="4" w:space="0" w:color="7F7F7F"/>
            </w:tcBorders>
            <w:shd w:val="clear" w:color="auto" w:fill="auto"/>
          </w:tcPr>
          <w:p w14:paraId="1409D550" w14:textId="77777777" w:rsidR="00C075F6" w:rsidRPr="005011B1" w:rsidRDefault="00C075F6" w:rsidP="003C247B">
            <w:pPr>
              <w:spacing w:line="360" w:lineRule="auto"/>
              <w:rPr>
                <w:rFonts w:ascii="Calibri Light" w:eastAsia="Yu Gothic Light" w:hAnsi="Calibri Light"/>
                <w:iCs/>
                <w:color w:val="000000"/>
                <w:sz w:val="26"/>
                <w:lang w:val="en-US"/>
              </w:rPr>
            </w:pPr>
            <w:r w:rsidRPr="005011B1">
              <w:rPr>
                <w:rFonts w:ascii="Calibri Light" w:eastAsia="Yu Gothic Light" w:hAnsi="Calibri Light"/>
                <w:iCs/>
                <w:color w:val="000000"/>
                <w:sz w:val="26"/>
                <w:lang w:val="en-US"/>
              </w:rPr>
              <w:t>627 (3.9%)</w:t>
            </w:r>
          </w:p>
        </w:tc>
      </w:tr>
    </w:tbl>
    <w:p w14:paraId="06FBE3C1" w14:textId="77777777" w:rsidR="00C075F6" w:rsidRPr="00967948" w:rsidRDefault="00C075F6" w:rsidP="0031400E">
      <w:pPr>
        <w:spacing w:line="360" w:lineRule="auto"/>
        <w:rPr>
          <w:rFonts w:ascii="Calibri Light" w:eastAsia="Yu Gothic Light" w:hAnsi="Calibri Light"/>
          <w:iCs/>
          <w:color w:val="000000"/>
          <w:lang w:val="en-US"/>
        </w:rPr>
      </w:pPr>
    </w:p>
    <w:p w14:paraId="085D2893" w14:textId="77777777" w:rsidR="0031400E" w:rsidRPr="005011B1" w:rsidRDefault="0031400E" w:rsidP="00251846">
      <w:pPr>
        <w:rPr>
          <w:rFonts w:ascii="Calibri Light" w:eastAsia="Yu Gothic Light" w:hAnsi="Calibri Light"/>
          <w:i/>
          <w:iCs/>
          <w:color w:val="000000"/>
          <w:sz w:val="26"/>
          <w:lang w:val="en-US"/>
        </w:rPr>
      </w:pPr>
    </w:p>
    <w:p w14:paraId="78EA517C" w14:textId="77777777" w:rsidR="0031400E" w:rsidRPr="005011B1" w:rsidRDefault="0031400E">
      <w:pPr>
        <w:rPr>
          <w:rFonts w:ascii="Calibri Light" w:eastAsia="Yu Gothic Light" w:hAnsi="Calibri Light"/>
          <w:i/>
          <w:iCs/>
          <w:color w:val="000000"/>
          <w:sz w:val="26"/>
          <w:lang w:val="en-US"/>
        </w:rPr>
      </w:pPr>
      <w:r w:rsidRPr="005011B1">
        <w:rPr>
          <w:rFonts w:ascii="Calibri Light" w:eastAsia="Yu Gothic Light" w:hAnsi="Calibri Light"/>
          <w:i/>
          <w:iCs/>
          <w:color w:val="000000"/>
          <w:sz w:val="26"/>
          <w:lang w:val="en-US"/>
        </w:rPr>
        <w:br w:type="page"/>
      </w:r>
    </w:p>
    <w:p w14:paraId="50450A31" w14:textId="77777777" w:rsidR="0031400E" w:rsidRPr="00967948" w:rsidRDefault="0031400E" w:rsidP="0031400E">
      <w:pPr>
        <w:spacing w:line="360" w:lineRule="auto"/>
        <w:rPr>
          <w:rFonts w:ascii="Calibri Light" w:eastAsia="Yu Gothic Light" w:hAnsi="Calibri Light"/>
          <w:iCs/>
          <w:color w:val="000000"/>
          <w:lang w:val="en-US"/>
        </w:rPr>
      </w:pPr>
      <w:r w:rsidRPr="00967948">
        <w:rPr>
          <w:rFonts w:ascii="Calibri Light" w:eastAsia="Yu Gothic Light" w:hAnsi="Calibri Light"/>
          <w:iCs/>
          <w:color w:val="000000"/>
          <w:lang w:val="en-US"/>
        </w:rPr>
        <w:lastRenderedPageBreak/>
        <w:t xml:space="preserve">Supplementary Table </w:t>
      </w:r>
      <w:proofErr w:type="gramStart"/>
      <w:r w:rsidRPr="00967948">
        <w:rPr>
          <w:rFonts w:ascii="Calibri Light" w:eastAsia="Yu Gothic Light" w:hAnsi="Calibri Light"/>
          <w:iCs/>
          <w:color w:val="000000"/>
          <w:lang w:val="en-US"/>
        </w:rPr>
        <w:t>1.Service</w:t>
      </w:r>
      <w:proofErr w:type="gramEnd"/>
      <w:r w:rsidRPr="00967948">
        <w:rPr>
          <w:rFonts w:ascii="Calibri Light" w:eastAsia="Yu Gothic Light" w:hAnsi="Calibri Light"/>
          <w:iCs/>
          <w:color w:val="000000"/>
          <w:lang w:val="en-US"/>
        </w:rPr>
        <w:t xml:space="preserve"> life  of the devices (months) subdivided per year of replacement and according to the ICD type and ICD indications. Data are expressed as median value with interquartile range (IQR).</w:t>
      </w:r>
    </w:p>
    <w:p w14:paraId="03A4D54B" w14:textId="77777777" w:rsidR="0031400E" w:rsidRPr="005011B1" w:rsidRDefault="0031400E" w:rsidP="0031400E">
      <w:pPr>
        <w:spacing w:line="480" w:lineRule="auto"/>
        <w:rPr>
          <w:color w:val="000000"/>
          <w:lang w:val="en-US"/>
        </w:rPr>
      </w:pPr>
    </w:p>
    <w:tbl>
      <w:tblPr>
        <w:tblpPr w:leftFromText="180" w:rightFromText="180" w:vertAnchor="page" w:horzAnchor="margin" w:tblpY="3559"/>
        <w:tblW w:w="0" w:type="auto"/>
        <w:tblBorders>
          <w:top w:val="single" w:sz="4" w:space="0" w:color="7F7F7F"/>
          <w:bottom w:val="single" w:sz="4" w:space="0" w:color="7F7F7F"/>
        </w:tblBorders>
        <w:tblLook w:val="04A0" w:firstRow="1" w:lastRow="0" w:firstColumn="1" w:lastColumn="0" w:noHBand="0" w:noVBand="1"/>
      </w:tblPr>
      <w:tblGrid>
        <w:gridCol w:w="1511"/>
        <w:gridCol w:w="1165"/>
        <w:gridCol w:w="1165"/>
        <w:gridCol w:w="1165"/>
        <w:gridCol w:w="1349"/>
        <w:gridCol w:w="1349"/>
        <w:gridCol w:w="1316"/>
      </w:tblGrid>
      <w:tr w:rsidR="006F35ED" w:rsidRPr="005011B1" w14:paraId="6A91E393" w14:textId="77777777" w:rsidTr="006F35ED">
        <w:tc>
          <w:tcPr>
            <w:tcW w:w="1511" w:type="dxa"/>
            <w:tcBorders>
              <w:bottom w:val="single" w:sz="4" w:space="0" w:color="7F7F7F"/>
            </w:tcBorders>
            <w:shd w:val="clear" w:color="auto" w:fill="auto"/>
          </w:tcPr>
          <w:p w14:paraId="5D93958E" w14:textId="77777777" w:rsidR="006F35ED" w:rsidRPr="005011B1" w:rsidRDefault="006F35ED" w:rsidP="006F35ED">
            <w:pPr>
              <w:rPr>
                <w:b/>
                <w:bCs/>
                <w:lang w:val="en-US"/>
              </w:rPr>
            </w:pPr>
            <w:r w:rsidRPr="005011B1">
              <w:rPr>
                <w:b/>
                <w:bCs/>
                <w:lang w:val="en-US"/>
              </w:rPr>
              <w:t>Year of Explantation</w:t>
            </w:r>
          </w:p>
        </w:tc>
        <w:tc>
          <w:tcPr>
            <w:tcW w:w="1165" w:type="dxa"/>
            <w:tcBorders>
              <w:bottom w:val="single" w:sz="4" w:space="0" w:color="7F7F7F"/>
            </w:tcBorders>
            <w:shd w:val="clear" w:color="auto" w:fill="auto"/>
          </w:tcPr>
          <w:p w14:paraId="01DD522A" w14:textId="77777777" w:rsidR="006F35ED" w:rsidRPr="005011B1" w:rsidRDefault="006F35ED" w:rsidP="006F35ED">
            <w:pPr>
              <w:rPr>
                <w:b/>
                <w:bCs/>
                <w:lang w:val="en-US"/>
              </w:rPr>
            </w:pPr>
            <w:r w:rsidRPr="005011B1">
              <w:rPr>
                <w:b/>
                <w:bCs/>
                <w:lang w:val="en-US"/>
              </w:rPr>
              <w:t>ICD-VR</w:t>
            </w:r>
          </w:p>
        </w:tc>
        <w:tc>
          <w:tcPr>
            <w:tcW w:w="1165" w:type="dxa"/>
            <w:tcBorders>
              <w:bottom w:val="single" w:sz="4" w:space="0" w:color="7F7F7F"/>
            </w:tcBorders>
            <w:shd w:val="clear" w:color="auto" w:fill="auto"/>
          </w:tcPr>
          <w:p w14:paraId="22A5C61D" w14:textId="77777777" w:rsidR="006F35ED" w:rsidRPr="005011B1" w:rsidRDefault="006F35ED" w:rsidP="006F35ED">
            <w:pPr>
              <w:rPr>
                <w:b/>
                <w:bCs/>
                <w:lang w:val="en-US"/>
              </w:rPr>
            </w:pPr>
            <w:r w:rsidRPr="005011B1">
              <w:rPr>
                <w:b/>
                <w:bCs/>
                <w:lang w:val="en-US"/>
              </w:rPr>
              <w:t>ICD-DR</w:t>
            </w:r>
          </w:p>
        </w:tc>
        <w:tc>
          <w:tcPr>
            <w:tcW w:w="1165" w:type="dxa"/>
            <w:tcBorders>
              <w:bottom w:val="single" w:sz="4" w:space="0" w:color="7F7F7F"/>
            </w:tcBorders>
            <w:shd w:val="clear" w:color="auto" w:fill="auto"/>
          </w:tcPr>
          <w:p w14:paraId="4CAE0A7F" w14:textId="77777777" w:rsidR="006F35ED" w:rsidRPr="005011B1" w:rsidRDefault="006F35ED" w:rsidP="006F35ED">
            <w:pPr>
              <w:rPr>
                <w:b/>
                <w:bCs/>
                <w:lang w:val="en-US"/>
              </w:rPr>
            </w:pPr>
            <w:r w:rsidRPr="005011B1">
              <w:rPr>
                <w:b/>
                <w:bCs/>
                <w:lang w:val="en-US"/>
              </w:rPr>
              <w:t>CRT-D</w:t>
            </w:r>
          </w:p>
        </w:tc>
        <w:tc>
          <w:tcPr>
            <w:tcW w:w="1349" w:type="dxa"/>
            <w:tcBorders>
              <w:bottom w:val="single" w:sz="4" w:space="0" w:color="7F7F7F"/>
            </w:tcBorders>
            <w:shd w:val="clear" w:color="auto" w:fill="auto"/>
          </w:tcPr>
          <w:p w14:paraId="4BD59150" w14:textId="77777777" w:rsidR="006F35ED" w:rsidRPr="005011B1" w:rsidRDefault="006F35ED" w:rsidP="006F35ED">
            <w:pPr>
              <w:rPr>
                <w:b/>
                <w:bCs/>
                <w:lang w:val="en-US"/>
              </w:rPr>
            </w:pPr>
            <w:r w:rsidRPr="005011B1">
              <w:rPr>
                <w:b/>
                <w:bCs/>
                <w:lang w:val="en-US"/>
              </w:rPr>
              <w:t>Primary Prevention</w:t>
            </w:r>
          </w:p>
        </w:tc>
        <w:tc>
          <w:tcPr>
            <w:tcW w:w="1349" w:type="dxa"/>
            <w:tcBorders>
              <w:bottom w:val="single" w:sz="4" w:space="0" w:color="7F7F7F"/>
            </w:tcBorders>
            <w:shd w:val="clear" w:color="auto" w:fill="auto"/>
          </w:tcPr>
          <w:p w14:paraId="5B348879" w14:textId="77777777" w:rsidR="006F35ED" w:rsidRPr="005011B1" w:rsidRDefault="006F35ED" w:rsidP="006F35ED">
            <w:pPr>
              <w:rPr>
                <w:b/>
                <w:bCs/>
                <w:lang w:val="en-US"/>
              </w:rPr>
            </w:pPr>
            <w:r w:rsidRPr="005011B1">
              <w:rPr>
                <w:b/>
                <w:bCs/>
                <w:lang w:val="en-US"/>
              </w:rPr>
              <w:t>Secondary Prevention</w:t>
            </w:r>
          </w:p>
        </w:tc>
        <w:tc>
          <w:tcPr>
            <w:tcW w:w="1316" w:type="dxa"/>
            <w:tcBorders>
              <w:bottom w:val="single" w:sz="4" w:space="0" w:color="7F7F7F"/>
            </w:tcBorders>
            <w:shd w:val="clear" w:color="auto" w:fill="auto"/>
          </w:tcPr>
          <w:p w14:paraId="09645EB4" w14:textId="77777777" w:rsidR="006F35ED" w:rsidRPr="005011B1" w:rsidRDefault="006F35ED" w:rsidP="006F35ED">
            <w:pPr>
              <w:rPr>
                <w:b/>
                <w:bCs/>
                <w:lang w:val="en-US"/>
              </w:rPr>
            </w:pPr>
            <w:r w:rsidRPr="005011B1">
              <w:rPr>
                <w:b/>
                <w:bCs/>
                <w:lang w:val="en-US"/>
              </w:rPr>
              <w:t>Combined</w:t>
            </w:r>
          </w:p>
        </w:tc>
      </w:tr>
      <w:tr w:rsidR="006F35ED" w:rsidRPr="005011B1" w14:paraId="4274A27D" w14:textId="77777777" w:rsidTr="006F35ED">
        <w:tc>
          <w:tcPr>
            <w:tcW w:w="1511" w:type="dxa"/>
            <w:tcBorders>
              <w:top w:val="single" w:sz="4" w:space="0" w:color="7F7F7F"/>
              <w:bottom w:val="single" w:sz="4" w:space="0" w:color="7F7F7F"/>
            </w:tcBorders>
            <w:shd w:val="clear" w:color="auto" w:fill="auto"/>
          </w:tcPr>
          <w:p w14:paraId="79D4637A" w14:textId="77777777" w:rsidR="006F35ED" w:rsidRPr="005011B1" w:rsidRDefault="006F35ED" w:rsidP="006F35ED">
            <w:pPr>
              <w:rPr>
                <w:b/>
                <w:bCs/>
                <w:lang w:val="en-US"/>
              </w:rPr>
            </w:pPr>
            <w:r w:rsidRPr="005011B1">
              <w:rPr>
                <w:b/>
                <w:bCs/>
                <w:lang w:val="en-US"/>
              </w:rPr>
              <w:t>2007</w:t>
            </w:r>
          </w:p>
        </w:tc>
        <w:tc>
          <w:tcPr>
            <w:tcW w:w="1165" w:type="dxa"/>
            <w:tcBorders>
              <w:top w:val="single" w:sz="4" w:space="0" w:color="7F7F7F"/>
              <w:bottom w:val="single" w:sz="4" w:space="0" w:color="7F7F7F"/>
            </w:tcBorders>
            <w:shd w:val="clear" w:color="auto" w:fill="auto"/>
          </w:tcPr>
          <w:p w14:paraId="63F940CB" w14:textId="77777777" w:rsidR="006F35ED" w:rsidRPr="005011B1" w:rsidRDefault="006F35ED" w:rsidP="006F35ED">
            <w:pPr>
              <w:rPr>
                <w:lang w:val="en-US"/>
              </w:rPr>
            </w:pPr>
            <w:r w:rsidRPr="005011B1">
              <w:rPr>
                <w:lang w:val="en-US"/>
              </w:rPr>
              <w:t xml:space="preserve">55.0 </w:t>
            </w:r>
          </w:p>
          <w:p w14:paraId="6C37A727" w14:textId="77777777" w:rsidR="006F35ED" w:rsidRPr="005011B1" w:rsidRDefault="006F35ED" w:rsidP="006F35ED">
            <w:pPr>
              <w:rPr>
                <w:lang w:val="en-US"/>
              </w:rPr>
            </w:pPr>
            <w:r w:rsidRPr="005011B1">
              <w:rPr>
                <w:lang w:val="en-US"/>
              </w:rPr>
              <w:t>IQR 29.7</w:t>
            </w:r>
          </w:p>
        </w:tc>
        <w:tc>
          <w:tcPr>
            <w:tcW w:w="1165" w:type="dxa"/>
            <w:tcBorders>
              <w:top w:val="single" w:sz="4" w:space="0" w:color="7F7F7F"/>
              <w:bottom w:val="single" w:sz="4" w:space="0" w:color="7F7F7F"/>
            </w:tcBorders>
            <w:shd w:val="clear" w:color="auto" w:fill="auto"/>
          </w:tcPr>
          <w:p w14:paraId="2E14633A" w14:textId="77777777" w:rsidR="006F35ED" w:rsidRPr="005011B1" w:rsidRDefault="006F35ED" w:rsidP="006F35ED">
            <w:pPr>
              <w:rPr>
                <w:lang w:val="en-US"/>
              </w:rPr>
            </w:pPr>
            <w:r w:rsidRPr="005011B1">
              <w:rPr>
                <w:lang w:val="en-US"/>
              </w:rPr>
              <w:t xml:space="preserve">48.3 </w:t>
            </w:r>
          </w:p>
          <w:p w14:paraId="5F2F7CD0" w14:textId="77777777" w:rsidR="006F35ED" w:rsidRPr="005011B1" w:rsidRDefault="006F35ED" w:rsidP="006F35ED">
            <w:pPr>
              <w:rPr>
                <w:lang w:val="en-US"/>
              </w:rPr>
            </w:pPr>
            <w:r w:rsidRPr="005011B1">
              <w:rPr>
                <w:lang w:val="en-US"/>
              </w:rPr>
              <w:t>IQR 21.6</w:t>
            </w:r>
          </w:p>
        </w:tc>
        <w:tc>
          <w:tcPr>
            <w:tcW w:w="1165" w:type="dxa"/>
            <w:tcBorders>
              <w:top w:val="single" w:sz="4" w:space="0" w:color="7F7F7F"/>
              <w:bottom w:val="single" w:sz="4" w:space="0" w:color="7F7F7F"/>
            </w:tcBorders>
            <w:shd w:val="clear" w:color="auto" w:fill="auto"/>
          </w:tcPr>
          <w:p w14:paraId="3BD4221C" w14:textId="77777777" w:rsidR="006F35ED" w:rsidRPr="005011B1" w:rsidRDefault="006F35ED" w:rsidP="006F35ED">
            <w:pPr>
              <w:rPr>
                <w:lang w:val="en-US"/>
              </w:rPr>
            </w:pPr>
            <w:r w:rsidRPr="005011B1">
              <w:rPr>
                <w:lang w:val="en-US"/>
              </w:rPr>
              <w:t xml:space="preserve">36.4 </w:t>
            </w:r>
          </w:p>
          <w:p w14:paraId="542D7140" w14:textId="77777777" w:rsidR="006F35ED" w:rsidRPr="005011B1" w:rsidRDefault="006F35ED" w:rsidP="006F35ED">
            <w:pPr>
              <w:rPr>
                <w:lang w:val="en-US"/>
              </w:rPr>
            </w:pPr>
            <w:r w:rsidRPr="005011B1">
              <w:rPr>
                <w:lang w:val="en-US"/>
              </w:rPr>
              <w:t>IQR 19.3</w:t>
            </w:r>
          </w:p>
        </w:tc>
        <w:tc>
          <w:tcPr>
            <w:tcW w:w="1349" w:type="dxa"/>
            <w:tcBorders>
              <w:top w:val="single" w:sz="4" w:space="0" w:color="7F7F7F"/>
              <w:bottom w:val="single" w:sz="4" w:space="0" w:color="7F7F7F"/>
            </w:tcBorders>
            <w:shd w:val="clear" w:color="auto" w:fill="auto"/>
          </w:tcPr>
          <w:p w14:paraId="6E5E7F5C" w14:textId="77777777" w:rsidR="006F35ED" w:rsidRPr="005011B1" w:rsidRDefault="006F35ED" w:rsidP="006F35ED">
            <w:pPr>
              <w:rPr>
                <w:lang w:val="en-US"/>
              </w:rPr>
            </w:pPr>
            <w:r w:rsidRPr="005011B1">
              <w:rPr>
                <w:lang w:val="en-US"/>
              </w:rPr>
              <w:t xml:space="preserve">42.2 </w:t>
            </w:r>
          </w:p>
          <w:p w14:paraId="3A48E7D4" w14:textId="77777777" w:rsidR="006F35ED" w:rsidRPr="005011B1" w:rsidRDefault="006F35ED" w:rsidP="006F35ED">
            <w:pPr>
              <w:rPr>
                <w:lang w:val="en-US"/>
              </w:rPr>
            </w:pPr>
            <w:r w:rsidRPr="005011B1">
              <w:rPr>
                <w:lang w:val="en-US"/>
              </w:rPr>
              <w:t>IQR 28.1</w:t>
            </w:r>
          </w:p>
        </w:tc>
        <w:tc>
          <w:tcPr>
            <w:tcW w:w="1349" w:type="dxa"/>
            <w:tcBorders>
              <w:top w:val="single" w:sz="4" w:space="0" w:color="7F7F7F"/>
              <w:bottom w:val="single" w:sz="4" w:space="0" w:color="7F7F7F"/>
            </w:tcBorders>
            <w:shd w:val="clear" w:color="auto" w:fill="auto"/>
          </w:tcPr>
          <w:p w14:paraId="19F29027" w14:textId="77777777" w:rsidR="006F35ED" w:rsidRPr="005011B1" w:rsidRDefault="006F35ED" w:rsidP="006F35ED">
            <w:pPr>
              <w:rPr>
                <w:lang w:val="en-US"/>
              </w:rPr>
            </w:pPr>
            <w:r w:rsidRPr="005011B1">
              <w:rPr>
                <w:lang w:val="en-US"/>
              </w:rPr>
              <w:t xml:space="preserve">48.7 </w:t>
            </w:r>
          </w:p>
          <w:p w14:paraId="0990DD5F" w14:textId="77777777" w:rsidR="006F35ED" w:rsidRPr="005011B1" w:rsidRDefault="006F35ED" w:rsidP="006F35ED">
            <w:pPr>
              <w:rPr>
                <w:lang w:val="en-US"/>
              </w:rPr>
            </w:pPr>
            <w:r w:rsidRPr="005011B1">
              <w:rPr>
                <w:lang w:val="en-US"/>
              </w:rPr>
              <w:t>IQR 27.9</w:t>
            </w:r>
          </w:p>
        </w:tc>
        <w:tc>
          <w:tcPr>
            <w:tcW w:w="1316" w:type="dxa"/>
            <w:tcBorders>
              <w:top w:val="single" w:sz="4" w:space="0" w:color="7F7F7F"/>
              <w:bottom w:val="single" w:sz="4" w:space="0" w:color="7F7F7F"/>
            </w:tcBorders>
            <w:shd w:val="clear" w:color="auto" w:fill="auto"/>
          </w:tcPr>
          <w:p w14:paraId="158937A4" w14:textId="77777777" w:rsidR="006F35ED" w:rsidRPr="005011B1" w:rsidRDefault="006F35ED" w:rsidP="006F35ED">
            <w:pPr>
              <w:rPr>
                <w:lang w:val="en-US"/>
              </w:rPr>
            </w:pPr>
            <w:r w:rsidRPr="005011B1">
              <w:rPr>
                <w:lang w:val="en-US"/>
              </w:rPr>
              <w:t xml:space="preserve">45.8 </w:t>
            </w:r>
          </w:p>
          <w:p w14:paraId="4C2855E9" w14:textId="77777777" w:rsidR="006F35ED" w:rsidRPr="005011B1" w:rsidRDefault="006F35ED" w:rsidP="006F35ED">
            <w:pPr>
              <w:rPr>
                <w:lang w:val="en-US"/>
              </w:rPr>
            </w:pPr>
            <w:r w:rsidRPr="005011B1">
              <w:rPr>
                <w:lang w:val="en-US"/>
              </w:rPr>
              <w:t>IQR 28.6</w:t>
            </w:r>
          </w:p>
        </w:tc>
      </w:tr>
      <w:tr w:rsidR="006F35ED" w:rsidRPr="005011B1" w14:paraId="5EB60527" w14:textId="77777777" w:rsidTr="006F35ED">
        <w:tc>
          <w:tcPr>
            <w:tcW w:w="1511" w:type="dxa"/>
            <w:shd w:val="clear" w:color="auto" w:fill="auto"/>
          </w:tcPr>
          <w:p w14:paraId="0F8A5CE5" w14:textId="77777777" w:rsidR="006F35ED" w:rsidRPr="005011B1" w:rsidRDefault="006F35ED" w:rsidP="006F35ED">
            <w:pPr>
              <w:rPr>
                <w:b/>
                <w:bCs/>
                <w:lang w:val="en-US"/>
              </w:rPr>
            </w:pPr>
            <w:r w:rsidRPr="005011B1">
              <w:rPr>
                <w:b/>
                <w:bCs/>
                <w:lang w:val="en-US"/>
              </w:rPr>
              <w:t>2008</w:t>
            </w:r>
          </w:p>
        </w:tc>
        <w:tc>
          <w:tcPr>
            <w:tcW w:w="1165" w:type="dxa"/>
            <w:shd w:val="clear" w:color="auto" w:fill="auto"/>
          </w:tcPr>
          <w:p w14:paraId="4A1A7B9B" w14:textId="77777777" w:rsidR="006F35ED" w:rsidRPr="005011B1" w:rsidRDefault="006F35ED" w:rsidP="006F35ED">
            <w:pPr>
              <w:rPr>
                <w:lang w:val="en-US"/>
              </w:rPr>
            </w:pPr>
            <w:r w:rsidRPr="005011B1">
              <w:rPr>
                <w:lang w:val="en-US"/>
              </w:rPr>
              <w:t xml:space="preserve">59.2 </w:t>
            </w:r>
          </w:p>
          <w:p w14:paraId="7504CEE9" w14:textId="77777777" w:rsidR="006F35ED" w:rsidRPr="005011B1" w:rsidRDefault="006F35ED" w:rsidP="006F35ED">
            <w:pPr>
              <w:rPr>
                <w:lang w:val="en-US"/>
              </w:rPr>
            </w:pPr>
            <w:r w:rsidRPr="005011B1">
              <w:rPr>
                <w:lang w:val="en-US"/>
              </w:rPr>
              <w:t>IQR 30.4</w:t>
            </w:r>
          </w:p>
        </w:tc>
        <w:tc>
          <w:tcPr>
            <w:tcW w:w="1165" w:type="dxa"/>
            <w:shd w:val="clear" w:color="auto" w:fill="auto"/>
          </w:tcPr>
          <w:p w14:paraId="5482A62C" w14:textId="77777777" w:rsidR="006F35ED" w:rsidRPr="005011B1" w:rsidRDefault="006F35ED" w:rsidP="006F35ED">
            <w:pPr>
              <w:rPr>
                <w:lang w:val="en-US"/>
              </w:rPr>
            </w:pPr>
            <w:r w:rsidRPr="005011B1">
              <w:rPr>
                <w:lang w:val="en-US"/>
              </w:rPr>
              <w:t xml:space="preserve">50.9 </w:t>
            </w:r>
          </w:p>
          <w:p w14:paraId="332DC49F" w14:textId="77777777" w:rsidR="006F35ED" w:rsidRPr="005011B1" w:rsidRDefault="006F35ED" w:rsidP="006F35ED">
            <w:pPr>
              <w:rPr>
                <w:lang w:val="en-US"/>
              </w:rPr>
            </w:pPr>
            <w:r w:rsidRPr="005011B1">
              <w:rPr>
                <w:lang w:val="en-US"/>
              </w:rPr>
              <w:t>IQR 25.2</w:t>
            </w:r>
          </w:p>
        </w:tc>
        <w:tc>
          <w:tcPr>
            <w:tcW w:w="1165" w:type="dxa"/>
            <w:shd w:val="clear" w:color="auto" w:fill="auto"/>
          </w:tcPr>
          <w:p w14:paraId="7DDCCB0B" w14:textId="77777777" w:rsidR="006F35ED" w:rsidRPr="005011B1" w:rsidRDefault="006F35ED" w:rsidP="006F35ED">
            <w:pPr>
              <w:rPr>
                <w:lang w:val="en-US"/>
              </w:rPr>
            </w:pPr>
            <w:r w:rsidRPr="005011B1">
              <w:rPr>
                <w:lang w:val="en-US"/>
              </w:rPr>
              <w:t xml:space="preserve">40.1 </w:t>
            </w:r>
          </w:p>
          <w:p w14:paraId="1A66698C" w14:textId="77777777" w:rsidR="006F35ED" w:rsidRPr="005011B1" w:rsidRDefault="006F35ED" w:rsidP="006F35ED">
            <w:pPr>
              <w:rPr>
                <w:lang w:val="en-US"/>
              </w:rPr>
            </w:pPr>
            <w:r w:rsidRPr="005011B1">
              <w:rPr>
                <w:lang w:val="en-US"/>
              </w:rPr>
              <w:t>IQR 15.5</w:t>
            </w:r>
          </w:p>
        </w:tc>
        <w:tc>
          <w:tcPr>
            <w:tcW w:w="1349" w:type="dxa"/>
            <w:shd w:val="clear" w:color="auto" w:fill="auto"/>
          </w:tcPr>
          <w:p w14:paraId="65EBDFC5" w14:textId="77777777" w:rsidR="006F35ED" w:rsidRPr="005011B1" w:rsidRDefault="006F35ED" w:rsidP="006F35ED">
            <w:pPr>
              <w:rPr>
                <w:lang w:val="en-US"/>
              </w:rPr>
            </w:pPr>
            <w:r w:rsidRPr="005011B1">
              <w:rPr>
                <w:lang w:val="en-US"/>
              </w:rPr>
              <w:t xml:space="preserve">43.8 </w:t>
            </w:r>
          </w:p>
          <w:p w14:paraId="24F48673" w14:textId="77777777" w:rsidR="006F35ED" w:rsidRPr="005011B1" w:rsidRDefault="006F35ED" w:rsidP="006F35ED">
            <w:pPr>
              <w:rPr>
                <w:lang w:val="en-US"/>
              </w:rPr>
            </w:pPr>
            <w:r w:rsidRPr="005011B1">
              <w:rPr>
                <w:lang w:val="en-US"/>
              </w:rPr>
              <w:t>IQR 24.1</w:t>
            </w:r>
          </w:p>
        </w:tc>
        <w:tc>
          <w:tcPr>
            <w:tcW w:w="1349" w:type="dxa"/>
            <w:shd w:val="clear" w:color="auto" w:fill="auto"/>
          </w:tcPr>
          <w:p w14:paraId="53D6A33F" w14:textId="77777777" w:rsidR="006F35ED" w:rsidRPr="005011B1" w:rsidRDefault="006F35ED" w:rsidP="006F35ED">
            <w:pPr>
              <w:rPr>
                <w:lang w:val="en-US"/>
              </w:rPr>
            </w:pPr>
            <w:r w:rsidRPr="005011B1">
              <w:rPr>
                <w:lang w:val="en-US"/>
              </w:rPr>
              <w:t xml:space="preserve">49.1 </w:t>
            </w:r>
          </w:p>
          <w:p w14:paraId="6C418DF0" w14:textId="77777777" w:rsidR="006F35ED" w:rsidRPr="005011B1" w:rsidRDefault="006F35ED" w:rsidP="006F35ED">
            <w:pPr>
              <w:rPr>
                <w:lang w:val="en-US"/>
              </w:rPr>
            </w:pPr>
            <w:r w:rsidRPr="005011B1">
              <w:rPr>
                <w:lang w:val="en-US"/>
              </w:rPr>
              <w:t>IQR 27.1</w:t>
            </w:r>
          </w:p>
        </w:tc>
        <w:tc>
          <w:tcPr>
            <w:tcW w:w="1316" w:type="dxa"/>
            <w:shd w:val="clear" w:color="auto" w:fill="auto"/>
          </w:tcPr>
          <w:p w14:paraId="29EF192A" w14:textId="77777777" w:rsidR="006F35ED" w:rsidRPr="005011B1" w:rsidRDefault="006F35ED" w:rsidP="006F35ED">
            <w:pPr>
              <w:rPr>
                <w:lang w:val="en-US"/>
              </w:rPr>
            </w:pPr>
            <w:r w:rsidRPr="005011B1">
              <w:rPr>
                <w:lang w:val="en-US"/>
              </w:rPr>
              <w:t xml:space="preserve">46.6 </w:t>
            </w:r>
          </w:p>
          <w:p w14:paraId="54A5262A" w14:textId="77777777" w:rsidR="006F35ED" w:rsidRPr="005011B1" w:rsidRDefault="006F35ED" w:rsidP="006F35ED">
            <w:pPr>
              <w:rPr>
                <w:lang w:val="en-US"/>
              </w:rPr>
            </w:pPr>
            <w:r w:rsidRPr="005011B1">
              <w:rPr>
                <w:lang w:val="en-US"/>
              </w:rPr>
              <w:t>IQR 25.7</w:t>
            </w:r>
          </w:p>
        </w:tc>
      </w:tr>
      <w:tr w:rsidR="006F35ED" w:rsidRPr="005011B1" w14:paraId="16A3BD43" w14:textId="77777777" w:rsidTr="006F35ED">
        <w:tc>
          <w:tcPr>
            <w:tcW w:w="1511" w:type="dxa"/>
            <w:tcBorders>
              <w:top w:val="single" w:sz="4" w:space="0" w:color="7F7F7F"/>
              <w:bottom w:val="single" w:sz="4" w:space="0" w:color="7F7F7F"/>
            </w:tcBorders>
            <w:shd w:val="clear" w:color="auto" w:fill="auto"/>
          </w:tcPr>
          <w:p w14:paraId="07F09897" w14:textId="77777777" w:rsidR="006F35ED" w:rsidRPr="005011B1" w:rsidRDefault="006F35ED" w:rsidP="006F35ED">
            <w:pPr>
              <w:rPr>
                <w:b/>
                <w:bCs/>
                <w:lang w:val="en-US"/>
              </w:rPr>
            </w:pPr>
            <w:r w:rsidRPr="005011B1">
              <w:rPr>
                <w:b/>
                <w:bCs/>
                <w:lang w:val="en-US"/>
              </w:rPr>
              <w:t>2009</w:t>
            </w:r>
          </w:p>
        </w:tc>
        <w:tc>
          <w:tcPr>
            <w:tcW w:w="1165" w:type="dxa"/>
            <w:tcBorders>
              <w:top w:val="single" w:sz="4" w:space="0" w:color="7F7F7F"/>
              <w:bottom w:val="single" w:sz="4" w:space="0" w:color="7F7F7F"/>
            </w:tcBorders>
            <w:shd w:val="clear" w:color="auto" w:fill="auto"/>
          </w:tcPr>
          <w:p w14:paraId="341A9027" w14:textId="77777777" w:rsidR="006F35ED" w:rsidRPr="005011B1" w:rsidRDefault="006F35ED" w:rsidP="006F35ED">
            <w:pPr>
              <w:rPr>
                <w:lang w:val="en-US"/>
              </w:rPr>
            </w:pPr>
            <w:r w:rsidRPr="005011B1">
              <w:rPr>
                <w:lang w:val="en-US"/>
              </w:rPr>
              <w:t xml:space="preserve">57.9 </w:t>
            </w:r>
          </w:p>
          <w:p w14:paraId="7A1903F4" w14:textId="77777777" w:rsidR="006F35ED" w:rsidRPr="005011B1" w:rsidRDefault="006F35ED" w:rsidP="006F35ED">
            <w:pPr>
              <w:rPr>
                <w:lang w:val="en-US"/>
              </w:rPr>
            </w:pPr>
            <w:r w:rsidRPr="005011B1">
              <w:rPr>
                <w:lang w:val="en-US"/>
              </w:rPr>
              <w:t>IQR 32.4</w:t>
            </w:r>
          </w:p>
        </w:tc>
        <w:tc>
          <w:tcPr>
            <w:tcW w:w="1165" w:type="dxa"/>
            <w:tcBorders>
              <w:top w:val="single" w:sz="4" w:space="0" w:color="7F7F7F"/>
              <w:bottom w:val="single" w:sz="4" w:space="0" w:color="7F7F7F"/>
            </w:tcBorders>
            <w:shd w:val="clear" w:color="auto" w:fill="auto"/>
          </w:tcPr>
          <w:p w14:paraId="2CB9950A" w14:textId="77777777" w:rsidR="006F35ED" w:rsidRPr="005011B1" w:rsidRDefault="006F35ED" w:rsidP="006F35ED">
            <w:pPr>
              <w:rPr>
                <w:lang w:val="en-US"/>
              </w:rPr>
            </w:pPr>
            <w:r w:rsidRPr="005011B1">
              <w:rPr>
                <w:lang w:val="en-US"/>
              </w:rPr>
              <w:t xml:space="preserve">53.7 </w:t>
            </w:r>
          </w:p>
          <w:p w14:paraId="66975B99" w14:textId="77777777" w:rsidR="006F35ED" w:rsidRPr="005011B1" w:rsidRDefault="006F35ED" w:rsidP="006F35ED">
            <w:pPr>
              <w:rPr>
                <w:lang w:val="en-US"/>
              </w:rPr>
            </w:pPr>
            <w:r w:rsidRPr="005011B1">
              <w:rPr>
                <w:lang w:val="en-US"/>
              </w:rPr>
              <w:t>IQR 22.0</w:t>
            </w:r>
          </w:p>
        </w:tc>
        <w:tc>
          <w:tcPr>
            <w:tcW w:w="1165" w:type="dxa"/>
            <w:tcBorders>
              <w:top w:val="single" w:sz="4" w:space="0" w:color="7F7F7F"/>
              <w:bottom w:val="single" w:sz="4" w:space="0" w:color="7F7F7F"/>
            </w:tcBorders>
            <w:shd w:val="clear" w:color="auto" w:fill="auto"/>
          </w:tcPr>
          <w:p w14:paraId="57A1FAE9" w14:textId="77777777" w:rsidR="006F35ED" w:rsidRPr="005011B1" w:rsidRDefault="006F35ED" w:rsidP="006F35ED">
            <w:pPr>
              <w:rPr>
                <w:lang w:val="en-US"/>
              </w:rPr>
            </w:pPr>
            <w:r w:rsidRPr="005011B1">
              <w:rPr>
                <w:lang w:val="en-US"/>
              </w:rPr>
              <w:t xml:space="preserve">44.1 </w:t>
            </w:r>
          </w:p>
          <w:p w14:paraId="7C239FEC" w14:textId="77777777" w:rsidR="006F35ED" w:rsidRPr="005011B1" w:rsidRDefault="006F35ED" w:rsidP="006F35ED">
            <w:pPr>
              <w:rPr>
                <w:lang w:val="en-US"/>
              </w:rPr>
            </w:pPr>
            <w:r w:rsidRPr="005011B1">
              <w:rPr>
                <w:lang w:val="en-US"/>
              </w:rPr>
              <w:t>IQR 16.6</w:t>
            </w:r>
          </w:p>
        </w:tc>
        <w:tc>
          <w:tcPr>
            <w:tcW w:w="1349" w:type="dxa"/>
            <w:tcBorders>
              <w:top w:val="single" w:sz="4" w:space="0" w:color="7F7F7F"/>
              <w:bottom w:val="single" w:sz="4" w:space="0" w:color="7F7F7F"/>
            </w:tcBorders>
            <w:shd w:val="clear" w:color="auto" w:fill="auto"/>
          </w:tcPr>
          <w:p w14:paraId="7DBB146C" w14:textId="77777777" w:rsidR="006F35ED" w:rsidRPr="005011B1" w:rsidRDefault="006F35ED" w:rsidP="006F35ED">
            <w:pPr>
              <w:rPr>
                <w:lang w:val="en-US"/>
              </w:rPr>
            </w:pPr>
            <w:r w:rsidRPr="005011B1">
              <w:rPr>
                <w:lang w:val="en-US"/>
              </w:rPr>
              <w:t xml:space="preserve">47.2 </w:t>
            </w:r>
          </w:p>
          <w:p w14:paraId="0D0B5E76" w14:textId="77777777" w:rsidR="006F35ED" w:rsidRPr="005011B1" w:rsidRDefault="006F35ED" w:rsidP="006F35ED">
            <w:pPr>
              <w:rPr>
                <w:lang w:val="en-US"/>
              </w:rPr>
            </w:pPr>
            <w:r w:rsidRPr="005011B1">
              <w:rPr>
                <w:lang w:val="en-US"/>
              </w:rPr>
              <w:t>IQR 21.2</w:t>
            </w:r>
          </w:p>
        </w:tc>
        <w:tc>
          <w:tcPr>
            <w:tcW w:w="1349" w:type="dxa"/>
            <w:tcBorders>
              <w:top w:val="single" w:sz="4" w:space="0" w:color="7F7F7F"/>
              <w:bottom w:val="single" w:sz="4" w:space="0" w:color="7F7F7F"/>
            </w:tcBorders>
            <w:shd w:val="clear" w:color="auto" w:fill="auto"/>
          </w:tcPr>
          <w:p w14:paraId="083385A6" w14:textId="77777777" w:rsidR="006F35ED" w:rsidRPr="005011B1" w:rsidRDefault="006F35ED" w:rsidP="006F35ED">
            <w:pPr>
              <w:rPr>
                <w:lang w:val="en-US"/>
              </w:rPr>
            </w:pPr>
            <w:r w:rsidRPr="005011B1">
              <w:rPr>
                <w:lang w:val="en-US"/>
              </w:rPr>
              <w:t xml:space="preserve">51.4 </w:t>
            </w:r>
          </w:p>
          <w:p w14:paraId="3B9AEE4C" w14:textId="77777777" w:rsidR="006F35ED" w:rsidRPr="005011B1" w:rsidRDefault="006F35ED" w:rsidP="006F35ED">
            <w:pPr>
              <w:rPr>
                <w:lang w:val="en-US"/>
              </w:rPr>
            </w:pPr>
            <w:r w:rsidRPr="005011B1">
              <w:rPr>
                <w:lang w:val="en-US"/>
              </w:rPr>
              <w:t>IQR 24.6</w:t>
            </w:r>
          </w:p>
        </w:tc>
        <w:tc>
          <w:tcPr>
            <w:tcW w:w="1316" w:type="dxa"/>
            <w:tcBorders>
              <w:top w:val="single" w:sz="4" w:space="0" w:color="7F7F7F"/>
              <w:bottom w:val="single" w:sz="4" w:space="0" w:color="7F7F7F"/>
            </w:tcBorders>
            <w:shd w:val="clear" w:color="auto" w:fill="auto"/>
          </w:tcPr>
          <w:p w14:paraId="41B4ADE7" w14:textId="77777777" w:rsidR="006F35ED" w:rsidRPr="005011B1" w:rsidRDefault="006F35ED" w:rsidP="006F35ED">
            <w:pPr>
              <w:rPr>
                <w:lang w:val="en-US"/>
              </w:rPr>
            </w:pPr>
            <w:r w:rsidRPr="005011B1">
              <w:rPr>
                <w:lang w:val="en-US"/>
              </w:rPr>
              <w:t xml:space="preserve">48.7 </w:t>
            </w:r>
          </w:p>
          <w:p w14:paraId="4B805E05" w14:textId="77777777" w:rsidR="006F35ED" w:rsidRPr="005011B1" w:rsidRDefault="006F35ED" w:rsidP="006F35ED">
            <w:pPr>
              <w:rPr>
                <w:lang w:val="en-US"/>
              </w:rPr>
            </w:pPr>
            <w:r w:rsidRPr="005011B1">
              <w:rPr>
                <w:lang w:val="en-US"/>
              </w:rPr>
              <w:t>IQR 23.3</w:t>
            </w:r>
          </w:p>
        </w:tc>
      </w:tr>
      <w:tr w:rsidR="006F35ED" w:rsidRPr="005011B1" w14:paraId="6C844557" w14:textId="77777777" w:rsidTr="006F35ED">
        <w:tc>
          <w:tcPr>
            <w:tcW w:w="1511" w:type="dxa"/>
            <w:shd w:val="clear" w:color="auto" w:fill="auto"/>
          </w:tcPr>
          <w:p w14:paraId="22A065D8" w14:textId="77777777" w:rsidR="006F35ED" w:rsidRPr="005011B1" w:rsidRDefault="006F35ED" w:rsidP="006F35ED">
            <w:pPr>
              <w:rPr>
                <w:b/>
                <w:bCs/>
                <w:lang w:val="en-US"/>
              </w:rPr>
            </w:pPr>
            <w:r w:rsidRPr="005011B1">
              <w:rPr>
                <w:b/>
                <w:bCs/>
                <w:lang w:val="en-US"/>
              </w:rPr>
              <w:t>2010</w:t>
            </w:r>
          </w:p>
        </w:tc>
        <w:tc>
          <w:tcPr>
            <w:tcW w:w="1165" w:type="dxa"/>
            <w:shd w:val="clear" w:color="auto" w:fill="auto"/>
          </w:tcPr>
          <w:p w14:paraId="7E6FD346" w14:textId="77777777" w:rsidR="006F35ED" w:rsidRPr="005011B1" w:rsidRDefault="006F35ED" w:rsidP="006F35ED">
            <w:pPr>
              <w:rPr>
                <w:lang w:val="en-US"/>
              </w:rPr>
            </w:pPr>
            <w:r w:rsidRPr="005011B1">
              <w:rPr>
                <w:lang w:val="en-US"/>
              </w:rPr>
              <w:t xml:space="preserve">62.2 </w:t>
            </w:r>
          </w:p>
          <w:p w14:paraId="23093365" w14:textId="77777777" w:rsidR="006F35ED" w:rsidRPr="005011B1" w:rsidRDefault="006F35ED" w:rsidP="006F35ED">
            <w:pPr>
              <w:rPr>
                <w:lang w:val="en-US"/>
              </w:rPr>
            </w:pPr>
            <w:r w:rsidRPr="005011B1">
              <w:rPr>
                <w:lang w:val="en-US"/>
              </w:rPr>
              <w:t>IQR 26.2</w:t>
            </w:r>
          </w:p>
        </w:tc>
        <w:tc>
          <w:tcPr>
            <w:tcW w:w="1165" w:type="dxa"/>
            <w:shd w:val="clear" w:color="auto" w:fill="auto"/>
          </w:tcPr>
          <w:p w14:paraId="3305730C" w14:textId="77777777" w:rsidR="006F35ED" w:rsidRPr="005011B1" w:rsidRDefault="006F35ED" w:rsidP="006F35ED">
            <w:pPr>
              <w:rPr>
                <w:lang w:val="en-US"/>
              </w:rPr>
            </w:pPr>
            <w:r w:rsidRPr="005011B1">
              <w:rPr>
                <w:lang w:val="en-US"/>
              </w:rPr>
              <w:t xml:space="preserve">58.4 </w:t>
            </w:r>
          </w:p>
          <w:p w14:paraId="731B6687" w14:textId="77777777" w:rsidR="006F35ED" w:rsidRPr="005011B1" w:rsidRDefault="006F35ED" w:rsidP="006F35ED">
            <w:pPr>
              <w:rPr>
                <w:lang w:val="en-US"/>
              </w:rPr>
            </w:pPr>
            <w:r w:rsidRPr="005011B1">
              <w:rPr>
                <w:lang w:val="en-US"/>
              </w:rPr>
              <w:t>IQR 26.2</w:t>
            </w:r>
          </w:p>
        </w:tc>
        <w:tc>
          <w:tcPr>
            <w:tcW w:w="1165" w:type="dxa"/>
            <w:shd w:val="clear" w:color="auto" w:fill="auto"/>
          </w:tcPr>
          <w:p w14:paraId="7D393AB5" w14:textId="77777777" w:rsidR="006F35ED" w:rsidRPr="005011B1" w:rsidRDefault="006F35ED" w:rsidP="006F35ED">
            <w:pPr>
              <w:rPr>
                <w:lang w:val="en-US"/>
              </w:rPr>
            </w:pPr>
            <w:r w:rsidRPr="005011B1">
              <w:rPr>
                <w:lang w:val="en-US"/>
              </w:rPr>
              <w:t xml:space="preserve">47.7 </w:t>
            </w:r>
          </w:p>
          <w:p w14:paraId="178E20BA" w14:textId="77777777" w:rsidR="006F35ED" w:rsidRPr="005011B1" w:rsidRDefault="006F35ED" w:rsidP="006F35ED">
            <w:pPr>
              <w:rPr>
                <w:lang w:val="en-US"/>
              </w:rPr>
            </w:pPr>
            <w:r w:rsidRPr="005011B1">
              <w:rPr>
                <w:lang w:val="en-US"/>
              </w:rPr>
              <w:t>IQR 17.9</w:t>
            </w:r>
          </w:p>
        </w:tc>
        <w:tc>
          <w:tcPr>
            <w:tcW w:w="1349" w:type="dxa"/>
            <w:shd w:val="clear" w:color="auto" w:fill="auto"/>
          </w:tcPr>
          <w:p w14:paraId="428A337F" w14:textId="77777777" w:rsidR="006F35ED" w:rsidRPr="005011B1" w:rsidRDefault="006F35ED" w:rsidP="006F35ED">
            <w:pPr>
              <w:rPr>
                <w:lang w:val="en-US"/>
              </w:rPr>
            </w:pPr>
            <w:r w:rsidRPr="005011B1">
              <w:rPr>
                <w:lang w:val="en-US"/>
              </w:rPr>
              <w:t xml:space="preserve">51.6 </w:t>
            </w:r>
          </w:p>
          <w:p w14:paraId="4AE66441" w14:textId="77777777" w:rsidR="006F35ED" w:rsidRPr="005011B1" w:rsidRDefault="006F35ED" w:rsidP="006F35ED">
            <w:pPr>
              <w:rPr>
                <w:lang w:val="en-US"/>
              </w:rPr>
            </w:pPr>
            <w:r w:rsidRPr="005011B1">
              <w:rPr>
                <w:lang w:val="en-US"/>
              </w:rPr>
              <w:t>IQR 22.6</w:t>
            </w:r>
          </w:p>
        </w:tc>
        <w:tc>
          <w:tcPr>
            <w:tcW w:w="1349" w:type="dxa"/>
            <w:shd w:val="clear" w:color="auto" w:fill="auto"/>
          </w:tcPr>
          <w:p w14:paraId="03A0F8A5" w14:textId="77777777" w:rsidR="006F35ED" w:rsidRPr="005011B1" w:rsidRDefault="006F35ED" w:rsidP="006F35ED">
            <w:pPr>
              <w:rPr>
                <w:lang w:val="en-US"/>
              </w:rPr>
            </w:pPr>
            <w:r w:rsidRPr="005011B1">
              <w:rPr>
                <w:lang w:val="en-US"/>
              </w:rPr>
              <w:t xml:space="preserve">56.0 </w:t>
            </w:r>
          </w:p>
          <w:p w14:paraId="516F7C0D" w14:textId="77777777" w:rsidR="006F35ED" w:rsidRPr="005011B1" w:rsidRDefault="006F35ED" w:rsidP="006F35ED">
            <w:pPr>
              <w:rPr>
                <w:lang w:val="en-US"/>
              </w:rPr>
            </w:pPr>
            <w:r w:rsidRPr="005011B1">
              <w:rPr>
                <w:lang w:val="en-US"/>
              </w:rPr>
              <w:t>IQR 24.7</w:t>
            </w:r>
          </w:p>
        </w:tc>
        <w:tc>
          <w:tcPr>
            <w:tcW w:w="1316" w:type="dxa"/>
            <w:shd w:val="clear" w:color="auto" w:fill="auto"/>
          </w:tcPr>
          <w:p w14:paraId="3CF6DBB6" w14:textId="77777777" w:rsidR="006F35ED" w:rsidRPr="005011B1" w:rsidRDefault="006F35ED" w:rsidP="006F35ED">
            <w:pPr>
              <w:rPr>
                <w:lang w:val="en-US"/>
              </w:rPr>
            </w:pPr>
            <w:r w:rsidRPr="005011B1">
              <w:rPr>
                <w:lang w:val="en-US"/>
              </w:rPr>
              <w:t xml:space="preserve">52.9 </w:t>
            </w:r>
          </w:p>
          <w:p w14:paraId="6557988D" w14:textId="77777777" w:rsidR="006F35ED" w:rsidRPr="005011B1" w:rsidRDefault="006F35ED" w:rsidP="006F35ED">
            <w:pPr>
              <w:rPr>
                <w:lang w:val="en-US"/>
              </w:rPr>
            </w:pPr>
            <w:r w:rsidRPr="005011B1">
              <w:rPr>
                <w:lang w:val="en-US"/>
              </w:rPr>
              <w:t>IQR 23.7</w:t>
            </w:r>
          </w:p>
        </w:tc>
      </w:tr>
      <w:tr w:rsidR="006F35ED" w:rsidRPr="005011B1" w14:paraId="3D881016" w14:textId="77777777" w:rsidTr="006F35ED">
        <w:tc>
          <w:tcPr>
            <w:tcW w:w="1511" w:type="dxa"/>
            <w:tcBorders>
              <w:top w:val="single" w:sz="4" w:space="0" w:color="7F7F7F"/>
              <w:bottom w:val="single" w:sz="4" w:space="0" w:color="7F7F7F"/>
            </w:tcBorders>
            <w:shd w:val="clear" w:color="auto" w:fill="auto"/>
          </w:tcPr>
          <w:p w14:paraId="29651EEE" w14:textId="77777777" w:rsidR="006F35ED" w:rsidRPr="005011B1" w:rsidRDefault="006F35ED" w:rsidP="006F35ED">
            <w:pPr>
              <w:rPr>
                <w:b/>
                <w:bCs/>
                <w:lang w:val="en-US"/>
              </w:rPr>
            </w:pPr>
            <w:r w:rsidRPr="005011B1">
              <w:rPr>
                <w:b/>
                <w:bCs/>
                <w:lang w:val="en-US"/>
              </w:rPr>
              <w:t>2011</w:t>
            </w:r>
          </w:p>
        </w:tc>
        <w:tc>
          <w:tcPr>
            <w:tcW w:w="1165" w:type="dxa"/>
            <w:tcBorders>
              <w:top w:val="single" w:sz="4" w:space="0" w:color="7F7F7F"/>
              <w:bottom w:val="single" w:sz="4" w:space="0" w:color="7F7F7F"/>
            </w:tcBorders>
            <w:shd w:val="clear" w:color="auto" w:fill="auto"/>
          </w:tcPr>
          <w:p w14:paraId="276061E9" w14:textId="77777777" w:rsidR="006F35ED" w:rsidRPr="005011B1" w:rsidRDefault="006F35ED" w:rsidP="006F35ED">
            <w:pPr>
              <w:rPr>
                <w:lang w:val="en-US"/>
              </w:rPr>
            </w:pPr>
            <w:r w:rsidRPr="005011B1">
              <w:rPr>
                <w:lang w:val="en-US"/>
              </w:rPr>
              <w:t xml:space="preserve">64.1 </w:t>
            </w:r>
          </w:p>
          <w:p w14:paraId="3798EC21" w14:textId="77777777" w:rsidR="006F35ED" w:rsidRPr="005011B1" w:rsidRDefault="006F35ED" w:rsidP="006F35ED">
            <w:pPr>
              <w:rPr>
                <w:lang w:val="en-US"/>
              </w:rPr>
            </w:pPr>
            <w:r w:rsidRPr="005011B1">
              <w:rPr>
                <w:lang w:val="en-US"/>
              </w:rPr>
              <w:t>IQR 26.9</w:t>
            </w:r>
          </w:p>
        </w:tc>
        <w:tc>
          <w:tcPr>
            <w:tcW w:w="1165" w:type="dxa"/>
            <w:tcBorders>
              <w:top w:val="single" w:sz="4" w:space="0" w:color="7F7F7F"/>
              <w:bottom w:val="single" w:sz="4" w:space="0" w:color="7F7F7F"/>
            </w:tcBorders>
            <w:shd w:val="clear" w:color="auto" w:fill="auto"/>
          </w:tcPr>
          <w:p w14:paraId="00A78895" w14:textId="77777777" w:rsidR="006F35ED" w:rsidRPr="005011B1" w:rsidRDefault="006F35ED" w:rsidP="006F35ED">
            <w:pPr>
              <w:rPr>
                <w:lang w:val="en-US"/>
              </w:rPr>
            </w:pPr>
            <w:r w:rsidRPr="005011B1">
              <w:rPr>
                <w:lang w:val="en-US"/>
              </w:rPr>
              <w:t xml:space="preserve">63.2 </w:t>
            </w:r>
          </w:p>
          <w:p w14:paraId="362F6065" w14:textId="77777777" w:rsidR="006F35ED" w:rsidRPr="005011B1" w:rsidRDefault="006F35ED" w:rsidP="006F35ED">
            <w:pPr>
              <w:rPr>
                <w:lang w:val="en-US"/>
              </w:rPr>
            </w:pPr>
            <w:r w:rsidRPr="005011B1">
              <w:rPr>
                <w:lang w:val="en-US"/>
              </w:rPr>
              <w:t>IQR 27.2</w:t>
            </w:r>
          </w:p>
        </w:tc>
        <w:tc>
          <w:tcPr>
            <w:tcW w:w="1165" w:type="dxa"/>
            <w:tcBorders>
              <w:top w:val="single" w:sz="4" w:space="0" w:color="7F7F7F"/>
              <w:bottom w:val="single" w:sz="4" w:space="0" w:color="7F7F7F"/>
            </w:tcBorders>
            <w:shd w:val="clear" w:color="auto" w:fill="auto"/>
          </w:tcPr>
          <w:p w14:paraId="5291D93C" w14:textId="77777777" w:rsidR="006F35ED" w:rsidRPr="005011B1" w:rsidRDefault="006F35ED" w:rsidP="006F35ED">
            <w:pPr>
              <w:rPr>
                <w:lang w:val="en-US"/>
              </w:rPr>
            </w:pPr>
            <w:r w:rsidRPr="005011B1">
              <w:rPr>
                <w:lang w:val="en-US"/>
              </w:rPr>
              <w:t xml:space="preserve">48.8 </w:t>
            </w:r>
          </w:p>
          <w:p w14:paraId="4047B03C" w14:textId="77777777" w:rsidR="006F35ED" w:rsidRPr="005011B1" w:rsidRDefault="006F35ED" w:rsidP="006F35ED">
            <w:pPr>
              <w:rPr>
                <w:lang w:val="en-US"/>
              </w:rPr>
            </w:pPr>
            <w:r w:rsidRPr="005011B1">
              <w:rPr>
                <w:lang w:val="en-US"/>
              </w:rPr>
              <w:t>IQR 17.9</w:t>
            </w:r>
          </w:p>
        </w:tc>
        <w:tc>
          <w:tcPr>
            <w:tcW w:w="1349" w:type="dxa"/>
            <w:tcBorders>
              <w:top w:val="single" w:sz="4" w:space="0" w:color="7F7F7F"/>
              <w:bottom w:val="single" w:sz="4" w:space="0" w:color="7F7F7F"/>
            </w:tcBorders>
            <w:shd w:val="clear" w:color="auto" w:fill="auto"/>
          </w:tcPr>
          <w:p w14:paraId="1940B4AF" w14:textId="77777777" w:rsidR="006F35ED" w:rsidRPr="005011B1" w:rsidRDefault="006F35ED" w:rsidP="006F35ED">
            <w:pPr>
              <w:rPr>
                <w:lang w:val="en-US"/>
              </w:rPr>
            </w:pPr>
            <w:r w:rsidRPr="005011B1">
              <w:rPr>
                <w:lang w:val="en-US"/>
              </w:rPr>
              <w:t xml:space="preserve">53.7 </w:t>
            </w:r>
          </w:p>
          <w:p w14:paraId="62604A9B" w14:textId="77777777" w:rsidR="006F35ED" w:rsidRPr="005011B1" w:rsidRDefault="006F35ED" w:rsidP="006F35ED">
            <w:pPr>
              <w:rPr>
                <w:lang w:val="en-US"/>
              </w:rPr>
            </w:pPr>
            <w:r w:rsidRPr="005011B1">
              <w:rPr>
                <w:lang w:val="en-US"/>
              </w:rPr>
              <w:t>IQR 24.6</w:t>
            </w:r>
          </w:p>
        </w:tc>
        <w:tc>
          <w:tcPr>
            <w:tcW w:w="1349" w:type="dxa"/>
            <w:tcBorders>
              <w:top w:val="single" w:sz="4" w:space="0" w:color="7F7F7F"/>
              <w:bottom w:val="single" w:sz="4" w:space="0" w:color="7F7F7F"/>
            </w:tcBorders>
            <w:shd w:val="clear" w:color="auto" w:fill="auto"/>
          </w:tcPr>
          <w:p w14:paraId="231AFC85" w14:textId="77777777" w:rsidR="006F35ED" w:rsidRPr="005011B1" w:rsidRDefault="006F35ED" w:rsidP="006F35ED">
            <w:pPr>
              <w:rPr>
                <w:lang w:val="en-US"/>
              </w:rPr>
            </w:pPr>
            <w:r w:rsidRPr="005011B1">
              <w:rPr>
                <w:lang w:val="en-US"/>
              </w:rPr>
              <w:t xml:space="preserve">57.4 </w:t>
            </w:r>
          </w:p>
          <w:p w14:paraId="5D56367B" w14:textId="77777777" w:rsidR="006F35ED" w:rsidRPr="005011B1" w:rsidRDefault="006F35ED" w:rsidP="006F35ED">
            <w:pPr>
              <w:rPr>
                <w:lang w:val="en-US"/>
              </w:rPr>
            </w:pPr>
            <w:r w:rsidRPr="005011B1">
              <w:rPr>
                <w:lang w:val="en-US"/>
              </w:rPr>
              <w:t>IQR 27.4</w:t>
            </w:r>
          </w:p>
        </w:tc>
        <w:tc>
          <w:tcPr>
            <w:tcW w:w="1316" w:type="dxa"/>
            <w:tcBorders>
              <w:top w:val="single" w:sz="4" w:space="0" w:color="7F7F7F"/>
              <w:bottom w:val="single" w:sz="4" w:space="0" w:color="7F7F7F"/>
            </w:tcBorders>
            <w:shd w:val="clear" w:color="auto" w:fill="auto"/>
          </w:tcPr>
          <w:p w14:paraId="4F75076A" w14:textId="77777777" w:rsidR="006F35ED" w:rsidRPr="005011B1" w:rsidRDefault="006F35ED" w:rsidP="006F35ED">
            <w:pPr>
              <w:rPr>
                <w:lang w:val="en-US"/>
              </w:rPr>
            </w:pPr>
            <w:r w:rsidRPr="005011B1">
              <w:rPr>
                <w:lang w:val="en-US"/>
              </w:rPr>
              <w:t xml:space="preserve">54.7 </w:t>
            </w:r>
          </w:p>
          <w:p w14:paraId="57AA5B94" w14:textId="77777777" w:rsidR="006F35ED" w:rsidRPr="005011B1" w:rsidRDefault="006F35ED" w:rsidP="006F35ED">
            <w:pPr>
              <w:rPr>
                <w:lang w:val="en-US"/>
              </w:rPr>
            </w:pPr>
            <w:r w:rsidRPr="005011B1">
              <w:rPr>
                <w:lang w:val="en-US"/>
              </w:rPr>
              <w:t>IQR 25.6</w:t>
            </w:r>
          </w:p>
        </w:tc>
      </w:tr>
      <w:tr w:rsidR="006F35ED" w:rsidRPr="005011B1" w14:paraId="103318AD" w14:textId="77777777" w:rsidTr="006F35ED">
        <w:tc>
          <w:tcPr>
            <w:tcW w:w="1511" w:type="dxa"/>
            <w:shd w:val="clear" w:color="auto" w:fill="auto"/>
          </w:tcPr>
          <w:p w14:paraId="27DDF53C" w14:textId="77777777" w:rsidR="006F35ED" w:rsidRPr="005011B1" w:rsidRDefault="006F35ED" w:rsidP="006F35ED">
            <w:pPr>
              <w:rPr>
                <w:b/>
                <w:bCs/>
                <w:lang w:val="en-US"/>
              </w:rPr>
            </w:pPr>
            <w:r w:rsidRPr="005011B1">
              <w:rPr>
                <w:b/>
                <w:bCs/>
                <w:lang w:val="en-US"/>
              </w:rPr>
              <w:t>2012</w:t>
            </w:r>
          </w:p>
        </w:tc>
        <w:tc>
          <w:tcPr>
            <w:tcW w:w="1165" w:type="dxa"/>
            <w:shd w:val="clear" w:color="auto" w:fill="auto"/>
          </w:tcPr>
          <w:p w14:paraId="0915BF17" w14:textId="77777777" w:rsidR="006F35ED" w:rsidRPr="005011B1" w:rsidRDefault="006F35ED" w:rsidP="006F35ED">
            <w:pPr>
              <w:rPr>
                <w:lang w:val="en-US"/>
              </w:rPr>
            </w:pPr>
            <w:r w:rsidRPr="005011B1">
              <w:rPr>
                <w:lang w:val="en-US"/>
              </w:rPr>
              <w:t xml:space="preserve">68.1 </w:t>
            </w:r>
          </w:p>
          <w:p w14:paraId="225082FD" w14:textId="77777777" w:rsidR="006F35ED" w:rsidRPr="005011B1" w:rsidRDefault="006F35ED" w:rsidP="006F35ED">
            <w:pPr>
              <w:rPr>
                <w:lang w:val="en-US"/>
              </w:rPr>
            </w:pPr>
            <w:r w:rsidRPr="005011B1">
              <w:rPr>
                <w:lang w:val="en-US"/>
              </w:rPr>
              <w:t>IQR 28.3</w:t>
            </w:r>
          </w:p>
        </w:tc>
        <w:tc>
          <w:tcPr>
            <w:tcW w:w="1165" w:type="dxa"/>
            <w:shd w:val="clear" w:color="auto" w:fill="auto"/>
          </w:tcPr>
          <w:p w14:paraId="05BDEF24" w14:textId="77777777" w:rsidR="006F35ED" w:rsidRPr="005011B1" w:rsidRDefault="006F35ED" w:rsidP="006F35ED">
            <w:pPr>
              <w:rPr>
                <w:lang w:val="en-US"/>
              </w:rPr>
            </w:pPr>
            <w:r w:rsidRPr="005011B1">
              <w:rPr>
                <w:lang w:val="en-US"/>
              </w:rPr>
              <w:t xml:space="preserve">65.6 </w:t>
            </w:r>
          </w:p>
          <w:p w14:paraId="628BF9A3" w14:textId="77777777" w:rsidR="006F35ED" w:rsidRPr="005011B1" w:rsidRDefault="006F35ED" w:rsidP="006F35ED">
            <w:pPr>
              <w:rPr>
                <w:lang w:val="en-US"/>
              </w:rPr>
            </w:pPr>
            <w:r w:rsidRPr="005011B1">
              <w:rPr>
                <w:lang w:val="en-US"/>
              </w:rPr>
              <w:t>IQR 21.8</w:t>
            </w:r>
          </w:p>
        </w:tc>
        <w:tc>
          <w:tcPr>
            <w:tcW w:w="1165" w:type="dxa"/>
            <w:shd w:val="clear" w:color="auto" w:fill="auto"/>
          </w:tcPr>
          <w:p w14:paraId="2EF4DFF2" w14:textId="77777777" w:rsidR="006F35ED" w:rsidRPr="005011B1" w:rsidRDefault="006F35ED" w:rsidP="006F35ED">
            <w:pPr>
              <w:rPr>
                <w:lang w:val="en-US"/>
              </w:rPr>
            </w:pPr>
            <w:r w:rsidRPr="005011B1">
              <w:rPr>
                <w:lang w:val="en-US"/>
              </w:rPr>
              <w:t xml:space="preserve">50.7 </w:t>
            </w:r>
          </w:p>
          <w:p w14:paraId="034018D1" w14:textId="77777777" w:rsidR="006F35ED" w:rsidRPr="005011B1" w:rsidRDefault="006F35ED" w:rsidP="006F35ED">
            <w:pPr>
              <w:rPr>
                <w:lang w:val="en-US"/>
              </w:rPr>
            </w:pPr>
            <w:r w:rsidRPr="005011B1">
              <w:rPr>
                <w:lang w:val="en-US"/>
              </w:rPr>
              <w:t>IQR 16.8</w:t>
            </w:r>
          </w:p>
        </w:tc>
        <w:tc>
          <w:tcPr>
            <w:tcW w:w="1349" w:type="dxa"/>
            <w:shd w:val="clear" w:color="auto" w:fill="auto"/>
          </w:tcPr>
          <w:p w14:paraId="4D04AB7E" w14:textId="77777777" w:rsidR="006F35ED" w:rsidRPr="005011B1" w:rsidRDefault="006F35ED" w:rsidP="006F35ED">
            <w:pPr>
              <w:rPr>
                <w:lang w:val="en-US"/>
              </w:rPr>
            </w:pPr>
            <w:r w:rsidRPr="005011B1">
              <w:rPr>
                <w:lang w:val="en-US"/>
              </w:rPr>
              <w:t xml:space="preserve">56.8 </w:t>
            </w:r>
          </w:p>
          <w:p w14:paraId="4733E900" w14:textId="77777777" w:rsidR="006F35ED" w:rsidRPr="005011B1" w:rsidRDefault="006F35ED" w:rsidP="006F35ED">
            <w:pPr>
              <w:rPr>
                <w:lang w:val="en-US"/>
              </w:rPr>
            </w:pPr>
            <w:r w:rsidRPr="005011B1">
              <w:rPr>
                <w:lang w:val="en-US"/>
              </w:rPr>
              <w:t>IQR 22.15</w:t>
            </w:r>
          </w:p>
        </w:tc>
        <w:tc>
          <w:tcPr>
            <w:tcW w:w="1349" w:type="dxa"/>
            <w:shd w:val="clear" w:color="auto" w:fill="auto"/>
          </w:tcPr>
          <w:p w14:paraId="2D7E88E2" w14:textId="77777777" w:rsidR="006F35ED" w:rsidRPr="005011B1" w:rsidRDefault="006F35ED" w:rsidP="006F35ED">
            <w:pPr>
              <w:rPr>
                <w:lang w:val="en-US"/>
              </w:rPr>
            </w:pPr>
            <w:r w:rsidRPr="005011B1">
              <w:rPr>
                <w:lang w:val="en-US"/>
              </w:rPr>
              <w:t xml:space="preserve">58.2 </w:t>
            </w:r>
          </w:p>
          <w:p w14:paraId="6A55FE72" w14:textId="77777777" w:rsidR="006F35ED" w:rsidRPr="005011B1" w:rsidRDefault="006F35ED" w:rsidP="006F35ED">
            <w:pPr>
              <w:rPr>
                <w:lang w:val="en-US"/>
              </w:rPr>
            </w:pPr>
            <w:r w:rsidRPr="005011B1">
              <w:rPr>
                <w:lang w:val="en-US"/>
              </w:rPr>
              <w:t>IQR 26.7</w:t>
            </w:r>
          </w:p>
        </w:tc>
        <w:tc>
          <w:tcPr>
            <w:tcW w:w="1316" w:type="dxa"/>
            <w:shd w:val="clear" w:color="auto" w:fill="auto"/>
          </w:tcPr>
          <w:p w14:paraId="000F4C09" w14:textId="77777777" w:rsidR="006F35ED" w:rsidRPr="005011B1" w:rsidRDefault="006F35ED" w:rsidP="006F35ED">
            <w:pPr>
              <w:rPr>
                <w:lang w:val="en-US"/>
              </w:rPr>
            </w:pPr>
            <w:r w:rsidRPr="005011B1">
              <w:rPr>
                <w:lang w:val="en-US"/>
              </w:rPr>
              <w:t xml:space="preserve">57.2 </w:t>
            </w:r>
          </w:p>
          <w:p w14:paraId="65E4A8F8" w14:textId="77777777" w:rsidR="006F35ED" w:rsidRPr="005011B1" w:rsidRDefault="006F35ED" w:rsidP="006F35ED">
            <w:pPr>
              <w:rPr>
                <w:lang w:val="en-US"/>
              </w:rPr>
            </w:pPr>
            <w:r w:rsidRPr="005011B1">
              <w:rPr>
                <w:lang w:val="en-US"/>
              </w:rPr>
              <w:t>IQR 23.5</w:t>
            </w:r>
          </w:p>
        </w:tc>
      </w:tr>
      <w:tr w:rsidR="006F35ED" w:rsidRPr="005011B1" w14:paraId="77F8B3A3" w14:textId="77777777" w:rsidTr="006F35ED">
        <w:tc>
          <w:tcPr>
            <w:tcW w:w="1511" w:type="dxa"/>
            <w:tcBorders>
              <w:top w:val="single" w:sz="4" w:space="0" w:color="7F7F7F"/>
              <w:bottom w:val="single" w:sz="4" w:space="0" w:color="7F7F7F"/>
            </w:tcBorders>
            <w:shd w:val="clear" w:color="auto" w:fill="auto"/>
          </w:tcPr>
          <w:p w14:paraId="13465927" w14:textId="77777777" w:rsidR="006F35ED" w:rsidRPr="005011B1" w:rsidRDefault="006F35ED" w:rsidP="006F35ED">
            <w:pPr>
              <w:rPr>
                <w:b/>
                <w:bCs/>
                <w:lang w:val="en-US"/>
              </w:rPr>
            </w:pPr>
            <w:r w:rsidRPr="005011B1">
              <w:rPr>
                <w:b/>
                <w:bCs/>
                <w:lang w:val="en-US"/>
              </w:rPr>
              <w:t>2013</w:t>
            </w:r>
          </w:p>
        </w:tc>
        <w:tc>
          <w:tcPr>
            <w:tcW w:w="1165" w:type="dxa"/>
            <w:tcBorders>
              <w:top w:val="single" w:sz="4" w:space="0" w:color="7F7F7F"/>
              <w:bottom w:val="single" w:sz="4" w:space="0" w:color="7F7F7F"/>
            </w:tcBorders>
            <w:shd w:val="clear" w:color="auto" w:fill="auto"/>
          </w:tcPr>
          <w:p w14:paraId="0CD6D868" w14:textId="77777777" w:rsidR="006F35ED" w:rsidRPr="005011B1" w:rsidRDefault="006F35ED" w:rsidP="006F35ED">
            <w:pPr>
              <w:rPr>
                <w:lang w:val="en-US"/>
              </w:rPr>
            </w:pPr>
            <w:r w:rsidRPr="005011B1">
              <w:rPr>
                <w:lang w:val="en-US"/>
              </w:rPr>
              <w:t xml:space="preserve">71.6 </w:t>
            </w:r>
          </w:p>
          <w:p w14:paraId="2938B9D7" w14:textId="77777777" w:rsidR="006F35ED" w:rsidRPr="005011B1" w:rsidRDefault="006F35ED" w:rsidP="006F35ED">
            <w:pPr>
              <w:rPr>
                <w:lang w:val="en-US"/>
              </w:rPr>
            </w:pPr>
            <w:r w:rsidRPr="005011B1">
              <w:rPr>
                <w:lang w:val="en-US"/>
              </w:rPr>
              <w:t>IQR 31.6</w:t>
            </w:r>
          </w:p>
        </w:tc>
        <w:tc>
          <w:tcPr>
            <w:tcW w:w="1165" w:type="dxa"/>
            <w:tcBorders>
              <w:top w:val="single" w:sz="4" w:space="0" w:color="7F7F7F"/>
              <w:bottom w:val="single" w:sz="4" w:space="0" w:color="7F7F7F"/>
            </w:tcBorders>
            <w:shd w:val="clear" w:color="auto" w:fill="auto"/>
          </w:tcPr>
          <w:p w14:paraId="003E3F75" w14:textId="77777777" w:rsidR="006F35ED" w:rsidRPr="005011B1" w:rsidRDefault="006F35ED" w:rsidP="006F35ED">
            <w:pPr>
              <w:rPr>
                <w:lang w:val="en-US"/>
              </w:rPr>
            </w:pPr>
            <w:r w:rsidRPr="005011B1">
              <w:rPr>
                <w:lang w:val="en-US"/>
              </w:rPr>
              <w:t xml:space="preserve">68.4 </w:t>
            </w:r>
          </w:p>
          <w:p w14:paraId="6F151084" w14:textId="77777777" w:rsidR="006F35ED" w:rsidRPr="005011B1" w:rsidRDefault="006F35ED" w:rsidP="006F35ED">
            <w:pPr>
              <w:rPr>
                <w:lang w:val="en-US"/>
              </w:rPr>
            </w:pPr>
            <w:r w:rsidRPr="005011B1">
              <w:rPr>
                <w:lang w:val="en-US"/>
              </w:rPr>
              <w:t>IQR 21.4</w:t>
            </w:r>
          </w:p>
        </w:tc>
        <w:tc>
          <w:tcPr>
            <w:tcW w:w="1165" w:type="dxa"/>
            <w:tcBorders>
              <w:top w:val="single" w:sz="4" w:space="0" w:color="7F7F7F"/>
              <w:bottom w:val="single" w:sz="4" w:space="0" w:color="7F7F7F"/>
            </w:tcBorders>
            <w:shd w:val="clear" w:color="auto" w:fill="auto"/>
          </w:tcPr>
          <w:p w14:paraId="16278DD2" w14:textId="77777777" w:rsidR="006F35ED" w:rsidRPr="005011B1" w:rsidRDefault="006F35ED" w:rsidP="006F35ED">
            <w:pPr>
              <w:rPr>
                <w:lang w:val="en-US"/>
              </w:rPr>
            </w:pPr>
            <w:r w:rsidRPr="005011B1">
              <w:rPr>
                <w:lang w:val="en-US"/>
              </w:rPr>
              <w:t xml:space="preserve">53.9 </w:t>
            </w:r>
          </w:p>
          <w:p w14:paraId="06786884" w14:textId="77777777" w:rsidR="006F35ED" w:rsidRPr="005011B1" w:rsidRDefault="006F35ED" w:rsidP="006F35ED">
            <w:pPr>
              <w:rPr>
                <w:lang w:val="en-US"/>
              </w:rPr>
            </w:pPr>
            <w:r w:rsidRPr="005011B1">
              <w:rPr>
                <w:lang w:val="en-US"/>
              </w:rPr>
              <w:t>IQR 19.8</w:t>
            </w:r>
          </w:p>
        </w:tc>
        <w:tc>
          <w:tcPr>
            <w:tcW w:w="1349" w:type="dxa"/>
            <w:tcBorders>
              <w:top w:val="single" w:sz="4" w:space="0" w:color="7F7F7F"/>
              <w:bottom w:val="single" w:sz="4" w:space="0" w:color="7F7F7F"/>
            </w:tcBorders>
            <w:shd w:val="clear" w:color="auto" w:fill="auto"/>
          </w:tcPr>
          <w:p w14:paraId="544E3E68" w14:textId="77777777" w:rsidR="006F35ED" w:rsidRPr="005011B1" w:rsidRDefault="006F35ED" w:rsidP="006F35ED">
            <w:pPr>
              <w:rPr>
                <w:lang w:val="en-US"/>
              </w:rPr>
            </w:pPr>
            <w:r w:rsidRPr="005011B1">
              <w:rPr>
                <w:lang w:val="en-US"/>
              </w:rPr>
              <w:t xml:space="preserve">59.7 </w:t>
            </w:r>
          </w:p>
          <w:p w14:paraId="58BD0D4C" w14:textId="77777777" w:rsidR="006F35ED" w:rsidRPr="005011B1" w:rsidRDefault="006F35ED" w:rsidP="006F35ED">
            <w:pPr>
              <w:rPr>
                <w:lang w:val="en-US"/>
              </w:rPr>
            </w:pPr>
            <w:r w:rsidRPr="005011B1">
              <w:rPr>
                <w:lang w:val="en-US"/>
              </w:rPr>
              <w:t>IQR 24.8</w:t>
            </w:r>
          </w:p>
        </w:tc>
        <w:tc>
          <w:tcPr>
            <w:tcW w:w="1349" w:type="dxa"/>
            <w:tcBorders>
              <w:top w:val="single" w:sz="4" w:space="0" w:color="7F7F7F"/>
              <w:bottom w:val="single" w:sz="4" w:space="0" w:color="7F7F7F"/>
            </w:tcBorders>
            <w:shd w:val="clear" w:color="auto" w:fill="auto"/>
          </w:tcPr>
          <w:p w14:paraId="67B3FD91" w14:textId="77777777" w:rsidR="006F35ED" w:rsidRPr="005011B1" w:rsidRDefault="006F35ED" w:rsidP="006F35ED">
            <w:pPr>
              <w:rPr>
                <w:lang w:val="en-US"/>
              </w:rPr>
            </w:pPr>
            <w:r w:rsidRPr="005011B1">
              <w:rPr>
                <w:lang w:val="en-US"/>
              </w:rPr>
              <w:t xml:space="preserve">63.7 </w:t>
            </w:r>
          </w:p>
          <w:p w14:paraId="7F137F29" w14:textId="77777777" w:rsidR="006F35ED" w:rsidRPr="005011B1" w:rsidRDefault="006F35ED" w:rsidP="006F35ED">
            <w:pPr>
              <w:rPr>
                <w:lang w:val="en-US"/>
              </w:rPr>
            </w:pPr>
            <w:r w:rsidRPr="005011B1">
              <w:rPr>
                <w:lang w:val="en-US"/>
              </w:rPr>
              <w:t>IQR 27.8</w:t>
            </w:r>
          </w:p>
        </w:tc>
        <w:tc>
          <w:tcPr>
            <w:tcW w:w="1316" w:type="dxa"/>
            <w:tcBorders>
              <w:top w:val="single" w:sz="4" w:space="0" w:color="7F7F7F"/>
              <w:bottom w:val="single" w:sz="4" w:space="0" w:color="7F7F7F"/>
            </w:tcBorders>
            <w:shd w:val="clear" w:color="auto" w:fill="auto"/>
          </w:tcPr>
          <w:p w14:paraId="2A023FC8" w14:textId="77777777" w:rsidR="006F35ED" w:rsidRPr="005011B1" w:rsidRDefault="006F35ED" w:rsidP="006F35ED">
            <w:pPr>
              <w:rPr>
                <w:lang w:val="en-US"/>
              </w:rPr>
            </w:pPr>
            <w:r w:rsidRPr="005011B1">
              <w:rPr>
                <w:lang w:val="en-US"/>
              </w:rPr>
              <w:t xml:space="preserve">60.6 </w:t>
            </w:r>
          </w:p>
          <w:p w14:paraId="3355A71C" w14:textId="77777777" w:rsidR="006F35ED" w:rsidRPr="005011B1" w:rsidRDefault="006F35ED" w:rsidP="006F35ED">
            <w:pPr>
              <w:rPr>
                <w:lang w:val="en-US"/>
              </w:rPr>
            </w:pPr>
            <w:r w:rsidRPr="005011B1">
              <w:rPr>
                <w:lang w:val="en-US"/>
              </w:rPr>
              <w:t>IQR 25.6</w:t>
            </w:r>
          </w:p>
        </w:tc>
      </w:tr>
      <w:tr w:rsidR="006F35ED" w:rsidRPr="005011B1" w14:paraId="026ABEB6" w14:textId="77777777" w:rsidTr="006F35ED">
        <w:tc>
          <w:tcPr>
            <w:tcW w:w="1511" w:type="dxa"/>
            <w:shd w:val="clear" w:color="auto" w:fill="auto"/>
          </w:tcPr>
          <w:p w14:paraId="1B106595" w14:textId="77777777" w:rsidR="006F35ED" w:rsidRPr="005011B1" w:rsidRDefault="006F35ED" w:rsidP="006F35ED">
            <w:pPr>
              <w:rPr>
                <w:b/>
                <w:bCs/>
                <w:lang w:val="en-US"/>
              </w:rPr>
            </w:pPr>
            <w:r w:rsidRPr="005011B1">
              <w:rPr>
                <w:b/>
                <w:bCs/>
                <w:lang w:val="en-US"/>
              </w:rPr>
              <w:t>2014</w:t>
            </w:r>
          </w:p>
        </w:tc>
        <w:tc>
          <w:tcPr>
            <w:tcW w:w="1165" w:type="dxa"/>
            <w:shd w:val="clear" w:color="auto" w:fill="auto"/>
          </w:tcPr>
          <w:p w14:paraId="5F15D839" w14:textId="77777777" w:rsidR="006F35ED" w:rsidRPr="005011B1" w:rsidRDefault="006F35ED" w:rsidP="006F35ED">
            <w:pPr>
              <w:rPr>
                <w:lang w:val="en-US"/>
              </w:rPr>
            </w:pPr>
            <w:r w:rsidRPr="005011B1">
              <w:rPr>
                <w:lang w:val="en-US"/>
              </w:rPr>
              <w:t xml:space="preserve">80.8 </w:t>
            </w:r>
          </w:p>
          <w:p w14:paraId="6414ED67" w14:textId="77777777" w:rsidR="006F35ED" w:rsidRPr="005011B1" w:rsidRDefault="006F35ED" w:rsidP="006F35ED">
            <w:pPr>
              <w:rPr>
                <w:lang w:val="en-US"/>
              </w:rPr>
            </w:pPr>
            <w:r w:rsidRPr="005011B1">
              <w:rPr>
                <w:lang w:val="en-US"/>
              </w:rPr>
              <w:t>IQR 35.7</w:t>
            </w:r>
          </w:p>
        </w:tc>
        <w:tc>
          <w:tcPr>
            <w:tcW w:w="1165" w:type="dxa"/>
            <w:shd w:val="clear" w:color="auto" w:fill="auto"/>
          </w:tcPr>
          <w:p w14:paraId="11E47B70" w14:textId="77777777" w:rsidR="006F35ED" w:rsidRPr="005011B1" w:rsidRDefault="006F35ED" w:rsidP="006F35ED">
            <w:pPr>
              <w:rPr>
                <w:lang w:val="en-US"/>
              </w:rPr>
            </w:pPr>
            <w:r w:rsidRPr="005011B1">
              <w:rPr>
                <w:lang w:val="en-US"/>
              </w:rPr>
              <w:t xml:space="preserve">71.3 </w:t>
            </w:r>
          </w:p>
          <w:p w14:paraId="05602433" w14:textId="77777777" w:rsidR="006F35ED" w:rsidRPr="005011B1" w:rsidRDefault="006F35ED" w:rsidP="006F35ED">
            <w:pPr>
              <w:rPr>
                <w:lang w:val="en-US"/>
              </w:rPr>
            </w:pPr>
            <w:r w:rsidRPr="005011B1">
              <w:rPr>
                <w:lang w:val="en-US"/>
              </w:rPr>
              <w:t>IQR 24.7</w:t>
            </w:r>
          </w:p>
        </w:tc>
        <w:tc>
          <w:tcPr>
            <w:tcW w:w="1165" w:type="dxa"/>
            <w:shd w:val="clear" w:color="auto" w:fill="auto"/>
          </w:tcPr>
          <w:p w14:paraId="545967F5" w14:textId="77777777" w:rsidR="006F35ED" w:rsidRPr="005011B1" w:rsidRDefault="006F35ED" w:rsidP="006F35ED">
            <w:pPr>
              <w:rPr>
                <w:lang w:val="en-US"/>
              </w:rPr>
            </w:pPr>
            <w:r w:rsidRPr="005011B1">
              <w:rPr>
                <w:lang w:val="en-US"/>
              </w:rPr>
              <w:t xml:space="preserve">58.3 </w:t>
            </w:r>
          </w:p>
          <w:p w14:paraId="04F5FB06" w14:textId="77777777" w:rsidR="006F35ED" w:rsidRPr="005011B1" w:rsidRDefault="006F35ED" w:rsidP="006F35ED">
            <w:pPr>
              <w:rPr>
                <w:lang w:val="en-US"/>
              </w:rPr>
            </w:pPr>
            <w:r w:rsidRPr="005011B1">
              <w:rPr>
                <w:lang w:val="en-US"/>
              </w:rPr>
              <w:t xml:space="preserve">IQR 20.6 </w:t>
            </w:r>
          </w:p>
        </w:tc>
        <w:tc>
          <w:tcPr>
            <w:tcW w:w="1349" w:type="dxa"/>
            <w:shd w:val="clear" w:color="auto" w:fill="auto"/>
          </w:tcPr>
          <w:p w14:paraId="6BABC090" w14:textId="77777777" w:rsidR="006F35ED" w:rsidRPr="005011B1" w:rsidRDefault="006F35ED" w:rsidP="006F35ED">
            <w:pPr>
              <w:rPr>
                <w:lang w:val="en-US"/>
              </w:rPr>
            </w:pPr>
            <w:r w:rsidRPr="005011B1">
              <w:rPr>
                <w:lang w:val="en-US"/>
              </w:rPr>
              <w:t xml:space="preserve">63.1 </w:t>
            </w:r>
          </w:p>
          <w:p w14:paraId="370734AC" w14:textId="77777777" w:rsidR="006F35ED" w:rsidRPr="005011B1" w:rsidRDefault="006F35ED" w:rsidP="006F35ED">
            <w:pPr>
              <w:rPr>
                <w:lang w:val="en-US"/>
              </w:rPr>
            </w:pPr>
            <w:r w:rsidRPr="005011B1">
              <w:rPr>
                <w:lang w:val="en-US"/>
              </w:rPr>
              <w:t>IQR 28.1</w:t>
            </w:r>
          </w:p>
        </w:tc>
        <w:tc>
          <w:tcPr>
            <w:tcW w:w="1349" w:type="dxa"/>
            <w:shd w:val="clear" w:color="auto" w:fill="auto"/>
          </w:tcPr>
          <w:p w14:paraId="2A7C74BD" w14:textId="77777777" w:rsidR="006F35ED" w:rsidRPr="005011B1" w:rsidRDefault="006F35ED" w:rsidP="006F35ED">
            <w:pPr>
              <w:rPr>
                <w:lang w:val="en-US"/>
              </w:rPr>
            </w:pPr>
            <w:r w:rsidRPr="005011B1">
              <w:rPr>
                <w:lang w:val="en-US"/>
              </w:rPr>
              <w:t xml:space="preserve">66.9 </w:t>
            </w:r>
          </w:p>
          <w:p w14:paraId="039750BA" w14:textId="77777777" w:rsidR="006F35ED" w:rsidRPr="005011B1" w:rsidRDefault="006F35ED" w:rsidP="006F35ED">
            <w:pPr>
              <w:rPr>
                <w:lang w:val="en-US"/>
              </w:rPr>
            </w:pPr>
            <w:r w:rsidRPr="005011B1">
              <w:rPr>
                <w:lang w:val="en-US"/>
              </w:rPr>
              <w:t>IQR 31.3</w:t>
            </w:r>
          </w:p>
        </w:tc>
        <w:tc>
          <w:tcPr>
            <w:tcW w:w="1316" w:type="dxa"/>
            <w:shd w:val="clear" w:color="auto" w:fill="auto"/>
          </w:tcPr>
          <w:p w14:paraId="5F00AFC8" w14:textId="77777777" w:rsidR="006F35ED" w:rsidRPr="005011B1" w:rsidRDefault="006F35ED" w:rsidP="006F35ED">
            <w:pPr>
              <w:rPr>
                <w:lang w:val="en-US"/>
              </w:rPr>
            </w:pPr>
            <w:r w:rsidRPr="005011B1">
              <w:rPr>
                <w:lang w:val="en-US"/>
              </w:rPr>
              <w:t xml:space="preserve">64.2 </w:t>
            </w:r>
          </w:p>
          <w:p w14:paraId="38647F0C" w14:textId="77777777" w:rsidR="006F35ED" w:rsidRPr="005011B1" w:rsidRDefault="006F35ED" w:rsidP="006F35ED">
            <w:pPr>
              <w:rPr>
                <w:lang w:val="en-US"/>
              </w:rPr>
            </w:pPr>
            <w:r w:rsidRPr="005011B1">
              <w:rPr>
                <w:lang w:val="en-US"/>
              </w:rPr>
              <w:t>IQR 29.3</w:t>
            </w:r>
          </w:p>
        </w:tc>
      </w:tr>
      <w:tr w:rsidR="006F35ED" w:rsidRPr="005011B1" w14:paraId="5B371C67" w14:textId="77777777" w:rsidTr="006F35ED">
        <w:tc>
          <w:tcPr>
            <w:tcW w:w="1511" w:type="dxa"/>
            <w:tcBorders>
              <w:top w:val="single" w:sz="4" w:space="0" w:color="7F7F7F"/>
              <w:bottom w:val="single" w:sz="4" w:space="0" w:color="7F7F7F"/>
            </w:tcBorders>
            <w:shd w:val="clear" w:color="auto" w:fill="auto"/>
          </w:tcPr>
          <w:p w14:paraId="54230D4E" w14:textId="77777777" w:rsidR="006F35ED" w:rsidRPr="005011B1" w:rsidRDefault="006F35ED" w:rsidP="006F35ED">
            <w:pPr>
              <w:rPr>
                <w:b/>
                <w:bCs/>
                <w:lang w:val="en-US"/>
              </w:rPr>
            </w:pPr>
            <w:r w:rsidRPr="005011B1">
              <w:rPr>
                <w:b/>
                <w:bCs/>
                <w:lang w:val="en-US"/>
              </w:rPr>
              <w:t>2015</w:t>
            </w:r>
          </w:p>
        </w:tc>
        <w:tc>
          <w:tcPr>
            <w:tcW w:w="1165" w:type="dxa"/>
            <w:tcBorders>
              <w:top w:val="single" w:sz="4" w:space="0" w:color="7F7F7F"/>
              <w:bottom w:val="single" w:sz="4" w:space="0" w:color="7F7F7F"/>
            </w:tcBorders>
            <w:shd w:val="clear" w:color="auto" w:fill="auto"/>
          </w:tcPr>
          <w:p w14:paraId="5FC2443A" w14:textId="77777777" w:rsidR="006F35ED" w:rsidRPr="005011B1" w:rsidRDefault="006F35ED" w:rsidP="006F35ED">
            <w:pPr>
              <w:rPr>
                <w:lang w:val="en-US"/>
              </w:rPr>
            </w:pPr>
            <w:r w:rsidRPr="005011B1">
              <w:rPr>
                <w:lang w:val="en-US"/>
              </w:rPr>
              <w:t xml:space="preserve">89.8 </w:t>
            </w:r>
          </w:p>
          <w:p w14:paraId="3AC03C36" w14:textId="77777777" w:rsidR="006F35ED" w:rsidRPr="005011B1" w:rsidRDefault="006F35ED" w:rsidP="006F35ED">
            <w:pPr>
              <w:rPr>
                <w:lang w:val="en-US"/>
              </w:rPr>
            </w:pPr>
            <w:r w:rsidRPr="005011B1">
              <w:rPr>
                <w:lang w:val="en-US"/>
              </w:rPr>
              <w:t>IQR 27.6</w:t>
            </w:r>
          </w:p>
        </w:tc>
        <w:tc>
          <w:tcPr>
            <w:tcW w:w="1165" w:type="dxa"/>
            <w:tcBorders>
              <w:top w:val="single" w:sz="4" w:space="0" w:color="7F7F7F"/>
              <w:bottom w:val="single" w:sz="4" w:space="0" w:color="7F7F7F"/>
            </w:tcBorders>
            <w:shd w:val="clear" w:color="auto" w:fill="auto"/>
          </w:tcPr>
          <w:p w14:paraId="7BD2C6F8" w14:textId="77777777" w:rsidR="006F35ED" w:rsidRPr="005011B1" w:rsidRDefault="006F35ED" w:rsidP="006F35ED">
            <w:pPr>
              <w:rPr>
                <w:lang w:val="en-US"/>
              </w:rPr>
            </w:pPr>
            <w:r w:rsidRPr="005011B1">
              <w:rPr>
                <w:lang w:val="en-US"/>
              </w:rPr>
              <w:t xml:space="preserve">70.6 </w:t>
            </w:r>
          </w:p>
          <w:p w14:paraId="602812C0" w14:textId="77777777" w:rsidR="006F35ED" w:rsidRPr="005011B1" w:rsidRDefault="006F35ED" w:rsidP="006F35ED">
            <w:pPr>
              <w:rPr>
                <w:lang w:val="en-US"/>
              </w:rPr>
            </w:pPr>
            <w:r w:rsidRPr="005011B1">
              <w:rPr>
                <w:lang w:val="en-US"/>
              </w:rPr>
              <w:t>IQR 24.3</w:t>
            </w:r>
          </w:p>
        </w:tc>
        <w:tc>
          <w:tcPr>
            <w:tcW w:w="1165" w:type="dxa"/>
            <w:tcBorders>
              <w:top w:val="single" w:sz="4" w:space="0" w:color="7F7F7F"/>
              <w:bottom w:val="single" w:sz="4" w:space="0" w:color="7F7F7F"/>
            </w:tcBorders>
            <w:shd w:val="clear" w:color="auto" w:fill="auto"/>
          </w:tcPr>
          <w:p w14:paraId="7C6436EC" w14:textId="77777777" w:rsidR="006F35ED" w:rsidRPr="005011B1" w:rsidRDefault="006F35ED" w:rsidP="006F35ED">
            <w:pPr>
              <w:rPr>
                <w:lang w:val="en-US"/>
              </w:rPr>
            </w:pPr>
            <w:r w:rsidRPr="005011B1">
              <w:rPr>
                <w:lang w:val="en-US"/>
              </w:rPr>
              <w:t xml:space="preserve">59.2 </w:t>
            </w:r>
          </w:p>
          <w:p w14:paraId="2B9C0082" w14:textId="77777777" w:rsidR="006F35ED" w:rsidRPr="005011B1" w:rsidRDefault="006F35ED" w:rsidP="006F35ED">
            <w:pPr>
              <w:rPr>
                <w:lang w:val="en-US"/>
              </w:rPr>
            </w:pPr>
            <w:r w:rsidRPr="005011B1">
              <w:rPr>
                <w:lang w:val="en-US"/>
              </w:rPr>
              <w:t>IQR 20.4</w:t>
            </w:r>
          </w:p>
        </w:tc>
        <w:tc>
          <w:tcPr>
            <w:tcW w:w="1349" w:type="dxa"/>
            <w:tcBorders>
              <w:top w:val="single" w:sz="4" w:space="0" w:color="7F7F7F"/>
              <w:bottom w:val="single" w:sz="4" w:space="0" w:color="7F7F7F"/>
            </w:tcBorders>
            <w:shd w:val="clear" w:color="auto" w:fill="auto"/>
          </w:tcPr>
          <w:p w14:paraId="1ACC4FF9" w14:textId="77777777" w:rsidR="006F35ED" w:rsidRPr="005011B1" w:rsidRDefault="006F35ED" w:rsidP="006F35ED">
            <w:pPr>
              <w:rPr>
                <w:lang w:val="en-US"/>
              </w:rPr>
            </w:pPr>
            <w:r w:rsidRPr="005011B1">
              <w:rPr>
                <w:lang w:val="en-US"/>
              </w:rPr>
              <w:t xml:space="preserve">64.8 </w:t>
            </w:r>
          </w:p>
          <w:p w14:paraId="2B24C7A5" w14:textId="77777777" w:rsidR="006F35ED" w:rsidRPr="005011B1" w:rsidRDefault="006F35ED" w:rsidP="006F35ED">
            <w:pPr>
              <w:rPr>
                <w:lang w:val="en-US"/>
              </w:rPr>
            </w:pPr>
            <w:r w:rsidRPr="005011B1">
              <w:rPr>
                <w:lang w:val="en-US"/>
              </w:rPr>
              <w:t>IQR 27.0</w:t>
            </w:r>
          </w:p>
        </w:tc>
        <w:tc>
          <w:tcPr>
            <w:tcW w:w="1349" w:type="dxa"/>
            <w:tcBorders>
              <w:top w:val="single" w:sz="4" w:space="0" w:color="7F7F7F"/>
              <w:bottom w:val="single" w:sz="4" w:space="0" w:color="7F7F7F"/>
            </w:tcBorders>
            <w:shd w:val="clear" w:color="auto" w:fill="auto"/>
          </w:tcPr>
          <w:p w14:paraId="3D0BC3A8" w14:textId="77777777" w:rsidR="006F35ED" w:rsidRPr="005011B1" w:rsidRDefault="006F35ED" w:rsidP="006F35ED">
            <w:pPr>
              <w:rPr>
                <w:lang w:val="en-US"/>
              </w:rPr>
            </w:pPr>
            <w:r w:rsidRPr="005011B1">
              <w:rPr>
                <w:lang w:val="en-US"/>
              </w:rPr>
              <w:t xml:space="preserve">67.3 </w:t>
            </w:r>
          </w:p>
          <w:p w14:paraId="075DDF26" w14:textId="77777777" w:rsidR="006F35ED" w:rsidRPr="005011B1" w:rsidRDefault="006F35ED" w:rsidP="006F35ED">
            <w:pPr>
              <w:rPr>
                <w:lang w:val="en-US"/>
              </w:rPr>
            </w:pPr>
            <w:r w:rsidRPr="005011B1">
              <w:rPr>
                <w:lang w:val="en-US"/>
              </w:rPr>
              <w:t>IQR 30.8</w:t>
            </w:r>
          </w:p>
        </w:tc>
        <w:tc>
          <w:tcPr>
            <w:tcW w:w="1316" w:type="dxa"/>
            <w:tcBorders>
              <w:top w:val="single" w:sz="4" w:space="0" w:color="7F7F7F"/>
              <w:bottom w:val="single" w:sz="4" w:space="0" w:color="7F7F7F"/>
            </w:tcBorders>
            <w:shd w:val="clear" w:color="auto" w:fill="auto"/>
          </w:tcPr>
          <w:p w14:paraId="3746637C" w14:textId="77777777" w:rsidR="006F35ED" w:rsidRPr="005011B1" w:rsidRDefault="006F35ED" w:rsidP="006F35ED">
            <w:pPr>
              <w:rPr>
                <w:lang w:val="en-US"/>
              </w:rPr>
            </w:pPr>
            <w:r w:rsidRPr="005011B1">
              <w:rPr>
                <w:lang w:val="en-US"/>
              </w:rPr>
              <w:t>65.4</w:t>
            </w:r>
          </w:p>
          <w:p w14:paraId="22636C1B" w14:textId="77777777" w:rsidR="006F35ED" w:rsidRPr="005011B1" w:rsidRDefault="006F35ED" w:rsidP="006F35ED">
            <w:pPr>
              <w:rPr>
                <w:lang w:val="en-US"/>
              </w:rPr>
            </w:pPr>
            <w:r w:rsidRPr="005011B1">
              <w:rPr>
                <w:lang w:val="en-US"/>
              </w:rPr>
              <w:t>IQR 27.7</w:t>
            </w:r>
          </w:p>
        </w:tc>
      </w:tr>
      <w:tr w:rsidR="006F35ED" w:rsidRPr="005011B1" w14:paraId="20F95BD2" w14:textId="77777777" w:rsidTr="006F35ED">
        <w:tc>
          <w:tcPr>
            <w:tcW w:w="1511" w:type="dxa"/>
            <w:shd w:val="clear" w:color="auto" w:fill="auto"/>
          </w:tcPr>
          <w:p w14:paraId="6C497807" w14:textId="77777777" w:rsidR="006F35ED" w:rsidRPr="005011B1" w:rsidRDefault="006F35ED" w:rsidP="006F35ED">
            <w:pPr>
              <w:rPr>
                <w:b/>
                <w:bCs/>
                <w:lang w:val="en-US"/>
              </w:rPr>
            </w:pPr>
            <w:r w:rsidRPr="005011B1">
              <w:rPr>
                <w:b/>
                <w:bCs/>
                <w:lang w:val="en-US"/>
              </w:rPr>
              <w:t>2016</w:t>
            </w:r>
          </w:p>
        </w:tc>
        <w:tc>
          <w:tcPr>
            <w:tcW w:w="1165" w:type="dxa"/>
            <w:shd w:val="clear" w:color="auto" w:fill="auto"/>
          </w:tcPr>
          <w:p w14:paraId="598E91DD" w14:textId="77777777" w:rsidR="006F35ED" w:rsidRPr="005011B1" w:rsidRDefault="006F35ED" w:rsidP="006F35ED">
            <w:pPr>
              <w:rPr>
                <w:lang w:val="en-US"/>
              </w:rPr>
            </w:pPr>
            <w:r w:rsidRPr="005011B1">
              <w:rPr>
                <w:lang w:val="en-US"/>
              </w:rPr>
              <w:t>87.6</w:t>
            </w:r>
          </w:p>
          <w:p w14:paraId="4D7EA5B9" w14:textId="77777777" w:rsidR="006F35ED" w:rsidRPr="005011B1" w:rsidRDefault="006F35ED" w:rsidP="006F35ED">
            <w:pPr>
              <w:rPr>
                <w:lang w:val="en-US"/>
              </w:rPr>
            </w:pPr>
            <w:r w:rsidRPr="005011B1">
              <w:rPr>
                <w:lang w:val="en-US"/>
              </w:rPr>
              <w:t>IQR 30.2</w:t>
            </w:r>
          </w:p>
        </w:tc>
        <w:tc>
          <w:tcPr>
            <w:tcW w:w="1165" w:type="dxa"/>
            <w:shd w:val="clear" w:color="auto" w:fill="auto"/>
          </w:tcPr>
          <w:p w14:paraId="0EA88D44" w14:textId="77777777" w:rsidR="006F35ED" w:rsidRPr="005011B1" w:rsidRDefault="006F35ED" w:rsidP="006F35ED">
            <w:pPr>
              <w:rPr>
                <w:lang w:val="en-US"/>
              </w:rPr>
            </w:pPr>
            <w:r w:rsidRPr="005011B1">
              <w:rPr>
                <w:lang w:val="en-US"/>
              </w:rPr>
              <w:t xml:space="preserve">77.0 </w:t>
            </w:r>
          </w:p>
          <w:p w14:paraId="7340221F" w14:textId="77777777" w:rsidR="006F35ED" w:rsidRPr="005011B1" w:rsidRDefault="006F35ED" w:rsidP="006F35ED">
            <w:pPr>
              <w:rPr>
                <w:lang w:val="en-US"/>
              </w:rPr>
            </w:pPr>
            <w:r w:rsidRPr="005011B1">
              <w:rPr>
                <w:lang w:val="en-US"/>
              </w:rPr>
              <w:t>IQR 22.1</w:t>
            </w:r>
          </w:p>
        </w:tc>
        <w:tc>
          <w:tcPr>
            <w:tcW w:w="1165" w:type="dxa"/>
            <w:shd w:val="clear" w:color="auto" w:fill="auto"/>
          </w:tcPr>
          <w:p w14:paraId="7E69F6D8" w14:textId="77777777" w:rsidR="006F35ED" w:rsidRPr="005011B1" w:rsidRDefault="006F35ED" w:rsidP="006F35ED">
            <w:pPr>
              <w:rPr>
                <w:lang w:val="en-US"/>
              </w:rPr>
            </w:pPr>
            <w:r w:rsidRPr="005011B1">
              <w:rPr>
                <w:lang w:val="en-US"/>
              </w:rPr>
              <w:t>61.5</w:t>
            </w:r>
          </w:p>
          <w:p w14:paraId="422FB8C6" w14:textId="77777777" w:rsidR="006F35ED" w:rsidRPr="005011B1" w:rsidRDefault="006F35ED" w:rsidP="006F35ED">
            <w:pPr>
              <w:rPr>
                <w:lang w:val="en-US"/>
              </w:rPr>
            </w:pPr>
            <w:r w:rsidRPr="005011B1">
              <w:rPr>
                <w:lang w:val="en-US"/>
              </w:rPr>
              <w:t>IQR 19.0</w:t>
            </w:r>
          </w:p>
        </w:tc>
        <w:tc>
          <w:tcPr>
            <w:tcW w:w="1349" w:type="dxa"/>
            <w:shd w:val="clear" w:color="auto" w:fill="auto"/>
          </w:tcPr>
          <w:p w14:paraId="3BD06AF5" w14:textId="77777777" w:rsidR="006F35ED" w:rsidRPr="005011B1" w:rsidRDefault="006F35ED" w:rsidP="006F35ED">
            <w:pPr>
              <w:rPr>
                <w:lang w:val="en-US"/>
              </w:rPr>
            </w:pPr>
            <w:r w:rsidRPr="005011B1">
              <w:rPr>
                <w:lang w:val="en-US"/>
              </w:rPr>
              <w:t>67.2</w:t>
            </w:r>
          </w:p>
          <w:p w14:paraId="45A4097A" w14:textId="77777777" w:rsidR="006F35ED" w:rsidRPr="005011B1" w:rsidRDefault="006F35ED" w:rsidP="006F35ED">
            <w:pPr>
              <w:rPr>
                <w:lang w:val="en-US"/>
              </w:rPr>
            </w:pPr>
            <w:r w:rsidRPr="005011B1">
              <w:rPr>
                <w:lang w:val="en-US"/>
              </w:rPr>
              <w:t>IQR 27.2</w:t>
            </w:r>
          </w:p>
        </w:tc>
        <w:tc>
          <w:tcPr>
            <w:tcW w:w="1349" w:type="dxa"/>
            <w:shd w:val="clear" w:color="auto" w:fill="auto"/>
          </w:tcPr>
          <w:p w14:paraId="410C6A4E" w14:textId="77777777" w:rsidR="006F35ED" w:rsidRPr="005011B1" w:rsidRDefault="006F35ED" w:rsidP="006F35ED">
            <w:pPr>
              <w:rPr>
                <w:lang w:val="en-US"/>
              </w:rPr>
            </w:pPr>
            <w:r w:rsidRPr="005011B1">
              <w:rPr>
                <w:lang w:val="en-US"/>
              </w:rPr>
              <w:t>70.7</w:t>
            </w:r>
          </w:p>
          <w:p w14:paraId="14571C23" w14:textId="77777777" w:rsidR="006F35ED" w:rsidRPr="005011B1" w:rsidRDefault="006F35ED" w:rsidP="006F35ED">
            <w:pPr>
              <w:rPr>
                <w:lang w:val="en-US"/>
              </w:rPr>
            </w:pPr>
            <w:r w:rsidRPr="005011B1">
              <w:rPr>
                <w:lang w:val="en-US"/>
              </w:rPr>
              <w:t>IQR 28.3</w:t>
            </w:r>
          </w:p>
        </w:tc>
        <w:tc>
          <w:tcPr>
            <w:tcW w:w="1316" w:type="dxa"/>
            <w:shd w:val="clear" w:color="auto" w:fill="auto"/>
          </w:tcPr>
          <w:p w14:paraId="6CDF3078" w14:textId="77777777" w:rsidR="006F35ED" w:rsidRPr="005011B1" w:rsidRDefault="006F35ED" w:rsidP="006F35ED">
            <w:pPr>
              <w:rPr>
                <w:lang w:val="en-US"/>
              </w:rPr>
            </w:pPr>
            <w:r w:rsidRPr="005011B1">
              <w:rPr>
                <w:lang w:val="en-US"/>
              </w:rPr>
              <w:t>68.1</w:t>
            </w:r>
          </w:p>
          <w:p w14:paraId="49536FEB" w14:textId="77777777" w:rsidR="006F35ED" w:rsidRPr="005011B1" w:rsidRDefault="006F35ED" w:rsidP="006F35ED">
            <w:pPr>
              <w:rPr>
                <w:lang w:val="en-US"/>
              </w:rPr>
            </w:pPr>
            <w:r w:rsidRPr="005011B1">
              <w:rPr>
                <w:lang w:val="en-US"/>
              </w:rPr>
              <w:t>IQR 27.7</w:t>
            </w:r>
          </w:p>
        </w:tc>
      </w:tr>
      <w:tr w:rsidR="006F35ED" w:rsidRPr="005011B1" w14:paraId="6ECA4F35" w14:textId="77777777" w:rsidTr="006F35ED">
        <w:tc>
          <w:tcPr>
            <w:tcW w:w="1511" w:type="dxa"/>
            <w:tcBorders>
              <w:top w:val="single" w:sz="4" w:space="0" w:color="7F7F7F"/>
              <w:bottom w:val="single" w:sz="4" w:space="0" w:color="7F7F7F"/>
            </w:tcBorders>
            <w:shd w:val="clear" w:color="auto" w:fill="auto"/>
          </w:tcPr>
          <w:p w14:paraId="19444BC7" w14:textId="77777777" w:rsidR="006F35ED" w:rsidRPr="005011B1" w:rsidRDefault="006F35ED" w:rsidP="006F35ED">
            <w:pPr>
              <w:rPr>
                <w:b/>
                <w:bCs/>
                <w:lang w:val="en-US"/>
              </w:rPr>
            </w:pPr>
            <w:r w:rsidRPr="005011B1">
              <w:rPr>
                <w:b/>
                <w:bCs/>
                <w:lang w:val="en-US"/>
              </w:rPr>
              <w:t>p for trend</w:t>
            </w:r>
          </w:p>
        </w:tc>
        <w:tc>
          <w:tcPr>
            <w:tcW w:w="1165" w:type="dxa"/>
            <w:tcBorders>
              <w:top w:val="single" w:sz="4" w:space="0" w:color="7F7F7F"/>
              <w:bottom w:val="single" w:sz="4" w:space="0" w:color="7F7F7F"/>
            </w:tcBorders>
            <w:shd w:val="clear" w:color="auto" w:fill="auto"/>
          </w:tcPr>
          <w:p w14:paraId="6C1BC584" w14:textId="77777777" w:rsidR="006F35ED" w:rsidRPr="005011B1" w:rsidRDefault="006F35ED" w:rsidP="006F35ED">
            <w:pPr>
              <w:rPr>
                <w:lang w:val="en-US"/>
              </w:rPr>
            </w:pPr>
            <w:r w:rsidRPr="005011B1">
              <w:rPr>
                <w:lang w:val="en-US"/>
              </w:rPr>
              <w:t>&lt;0.001</w:t>
            </w:r>
          </w:p>
        </w:tc>
        <w:tc>
          <w:tcPr>
            <w:tcW w:w="1165" w:type="dxa"/>
            <w:tcBorders>
              <w:top w:val="single" w:sz="4" w:space="0" w:color="7F7F7F"/>
              <w:bottom w:val="single" w:sz="4" w:space="0" w:color="7F7F7F"/>
            </w:tcBorders>
            <w:shd w:val="clear" w:color="auto" w:fill="auto"/>
          </w:tcPr>
          <w:p w14:paraId="007549F3" w14:textId="77777777" w:rsidR="006F35ED" w:rsidRPr="005011B1" w:rsidRDefault="006F35ED" w:rsidP="006F35ED">
            <w:pPr>
              <w:rPr>
                <w:lang w:val="en-US"/>
              </w:rPr>
            </w:pPr>
            <w:r w:rsidRPr="005011B1">
              <w:rPr>
                <w:lang w:val="en-US"/>
              </w:rPr>
              <w:t>&lt;0.001</w:t>
            </w:r>
          </w:p>
        </w:tc>
        <w:tc>
          <w:tcPr>
            <w:tcW w:w="1165" w:type="dxa"/>
            <w:tcBorders>
              <w:top w:val="single" w:sz="4" w:space="0" w:color="7F7F7F"/>
              <w:bottom w:val="single" w:sz="4" w:space="0" w:color="7F7F7F"/>
            </w:tcBorders>
            <w:shd w:val="clear" w:color="auto" w:fill="auto"/>
          </w:tcPr>
          <w:p w14:paraId="2EA29F75" w14:textId="77777777" w:rsidR="006F35ED" w:rsidRPr="005011B1" w:rsidRDefault="006F35ED" w:rsidP="006F35ED">
            <w:pPr>
              <w:rPr>
                <w:lang w:val="en-US"/>
              </w:rPr>
            </w:pPr>
            <w:r w:rsidRPr="005011B1">
              <w:rPr>
                <w:lang w:val="en-US"/>
              </w:rPr>
              <w:t>&lt;0.001</w:t>
            </w:r>
          </w:p>
        </w:tc>
        <w:tc>
          <w:tcPr>
            <w:tcW w:w="1349" w:type="dxa"/>
            <w:tcBorders>
              <w:top w:val="single" w:sz="4" w:space="0" w:color="7F7F7F"/>
              <w:bottom w:val="single" w:sz="4" w:space="0" w:color="7F7F7F"/>
            </w:tcBorders>
            <w:shd w:val="clear" w:color="auto" w:fill="auto"/>
          </w:tcPr>
          <w:p w14:paraId="2FCC1D7A" w14:textId="77777777" w:rsidR="006F35ED" w:rsidRPr="005011B1" w:rsidRDefault="006F35ED" w:rsidP="006F35ED">
            <w:pPr>
              <w:rPr>
                <w:lang w:val="en-US"/>
              </w:rPr>
            </w:pPr>
            <w:r w:rsidRPr="005011B1">
              <w:rPr>
                <w:lang w:val="en-US"/>
              </w:rPr>
              <w:t>&lt;0.001</w:t>
            </w:r>
          </w:p>
        </w:tc>
        <w:tc>
          <w:tcPr>
            <w:tcW w:w="1349" w:type="dxa"/>
            <w:tcBorders>
              <w:top w:val="single" w:sz="4" w:space="0" w:color="7F7F7F"/>
              <w:bottom w:val="single" w:sz="4" w:space="0" w:color="7F7F7F"/>
            </w:tcBorders>
            <w:shd w:val="clear" w:color="auto" w:fill="auto"/>
          </w:tcPr>
          <w:p w14:paraId="4493ABB9" w14:textId="77777777" w:rsidR="006F35ED" w:rsidRPr="005011B1" w:rsidRDefault="006F35ED" w:rsidP="006F35ED">
            <w:pPr>
              <w:rPr>
                <w:lang w:val="en-US"/>
              </w:rPr>
            </w:pPr>
            <w:r w:rsidRPr="005011B1">
              <w:rPr>
                <w:lang w:val="en-US"/>
              </w:rPr>
              <w:t>&lt;0,001</w:t>
            </w:r>
          </w:p>
        </w:tc>
        <w:tc>
          <w:tcPr>
            <w:tcW w:w="1316" w:type="dxa"/>
            <w:tcBorders>
              <w:top w:val="single" w:sz="4" w:space="0" w:color="7F7F7F"/>
              <w:bottom w:val="single" w:sz="4" w:space="0" w:color="7F7F7F"/>
            </w:tcBorders>
            <w:shd w:val="clear" w:color="auto" w:fill="auto"/>
          </w:tcPr>
          <w:p w14:paraId="702FA498" w14:textId="77777777" w:rsidR="006F35ED" w:rsidRPr="005011B1" w:rsidRDefault="006F35ED" w:rsidP="006F35ED">
            <w:pPr>
              <w:rPr>
                <w:lang w:val="en-US"/>
              </w:rPr>
            </w:pPr>
            <w:r w:rsidRPr="005011B1">
              <w:rPr>
                <w:lang w:val="en-US"/>
              </w:rPr>
              <w:t>&lt;0,001</w:t>
            </w:r>
          </w:p>
        </w:tc>
      </w:tr>
    </w:tbl>
    <w:p w14:paraId="4F4E4258" w14:textId="77777777" w:rsidR="0031400E" w:rsidRPr="005011B1" w:rsidRDefault="0031400E" w:rsidP="456EB3F9">
      <w:pPr>
        <w:spacing w:line="480" w:lineRule="auto"/>
        <w:rPr>
          <w:color w:val="000000"/>
          <w:lang w:val="en-US"/>
        </w:rPr>
      </w:pPr>
    </w:p>
    <w:p w14:paraId="0853F998" w14:textId="7094EF13" w:rsidR="006F35ED" w:rsidRDefault="006F35ED">
      <w:pPr>
        <w:rPr>
          <w:color w:val="000000"/>
          <w:lang w:val="en-US"/>
        </w:rPr>
      </w:pPr>
      <w:r>
        <w:rPr>
          <w:color w:val="000000"/>
          <w:lang w:val="en-US"/>
        </w:rPr>
        <w:br w:type="page"/>
      </w:r>
    </w:p>
    <w:p w14:paraId="3AD7FFC1" w14:textId="77777777" w:rsidR="002C60E8" w:rsidRPr="005011B1" w:rsidRDefault="00C508C0" w:rsidP="0031400E">
      <w:pPr>
        <w:spacing w:line="480" w:lineRule="auto"/>
        <w:rPr>
          <w:color w:val="000000"/>
          <w:lang w:val="en-US"/>
        </w:rPr>
      </w:pPr>
      <w:r w:rsidRPr="005011B1">
        <w:rPr>
          <w:color w:val="000000"/>
          <w:lang w:val="en-US"/>
        </w:rPr>
        <w:lastRenderedPageBreak/>
        <w:t>FIGURES</w:t>
      </w:r>
    </w:p>
    <w:p w14:paraId="0B7B6EBA" w14:textId="7A4A9FC3" w:rsidR="002C60E8" w:rsidRDefault="002C60E8" w:rsidP="00795821">
      <w:pPr>
        <w:spacing w:line="480" w:lineRule="auto"/>
        <w:rPr>
          <w:noProof/>
          <w:color w:val="000000"/>
          <w:lang w:val="en-US"/>
        </w:rPr>
      </w:pPr>
      <w:r w:rsidRPr="005011B1">
        <w:rPr>
          <w:color w:val="000000"/>
          <w:lang w:val="en-US"/>
        </w:rPr>
        <w:t xml:space="preserve">Figure 1. </w:t>
      </w:r>
      <w:r w:rsidR="002D40FC" w:rsidRPr="005011B1">
        <w:rPr>
          <w:color w:val="000000"/>
          <w:lang w:val="en-US"/>
        </w:rPr>
        <w:t xml:space="preserve">Distribution of </w:t>
      </w:r>
      <w:r w:rsidR="00057555" w:rsidRPr="005011B1">
        <w:rPr>
          <w:noProof/>
          <w:color w:val="000000"/>
          <w:lang w:val="en-US"/>
        </w:rPr>
        <w:t>service-life</w:t>
      </w:r>
      <w:r w:rsidR="005D56AD" w:rsidRPr="005011B1">
        <w:rPr>
          <w:noProof/>
          <w:color w:val="000000"/>
          <w:lang w:val="en-US"/>
        </w:rPr>
        <w:t xml:space="preserve"> </w:t>
      </w:r>
      <w:r w:rsidR="001E5DA5" w:rsidRPr="005011B1">
        <w:rPr>
          <w:noProof/>
          <w:color w:val="000000"/>
          <w:lang w:val="en-US"/>
        </w:rPr>
        <w:t>(months)</w:t>
      </w:r>
      <w:r w:rsidR="00505D45" w:rsidRPr="005011B1">
        <w:rPr>
          <w:noProof/>
          <w:color w:val="000000"/>
          <w:lang w:val="en-US"/>
        </w:rPr>
        <w:t xml:space="preserve"> of </w:t>
      </w:r>
      <w:r w:rsidR="004719BF" w:rsidRPr="005011B1">
        <w:rPr>
          <w:noProof/>
          <w:color w:val="000000"/>
          <w:lang w:val="en-US"/>
        </w:rPr>
        <w:t xml:space="preserve">ICD/CRT-D devices according to </w:t>
      </w:r>
      <w:r w:rsidR="001E5DA5" w:rsidRPr="005011B1">
        <w:rPr>
          <w:noProof/>
          <w:color w:val="000000"/>
          <w:lang w:val="en-US"/>
        </w:rPr>
        <w:t xml:space="preserve">ICD </w:t>
      </w:r>
      <w:r w:rsidR="004719BF" w:rsidRPr="005011B1">
        <w:rPr>
          <w:noProof/>
          <w:color w:val="000000"/>
          <w:lang w:val="en-US"/>
        </w:rPr>
        <w:t>indication</w:t>
      </w:r>
      <w:r w:rsidR="009F56A2" w:rsidRPr="005011B1">
        <w:rPr>
          <w:noProof/>
          <w:color w:val="000000"/>
          <w:lang w:val="en-US"/>
        </w:rPr>
        <w:t xml:space="preserve"> </w:t>
      </w:r>
      <w:r w:rsidR="004719BF" w:rsidRPr="005011B1">
        <w:rPr>
          <w:noProof/>
          <w:color w:val="000000"/>
          <w:lang w:val="en-US"/>
        </w:rPr>
        <w:t>and devices’ characteristics.</w:t>
      </w:r>
      <w:r w:rsidR="006B1922" w:rsidRPr="005011B1">
        <w:rPr>
          <w:noProof/>
          <w:color w:val="000000"/>
          <w:lang w:val="en-US"/>
        </w:rPr>
        <w:t xml:space="preserve"> Box </w:t>
      </w:r>
      <w:r w:rsidR="00FD7539" w:rsidRPr="005011B1">
        <w:rPr>
          <w:noProof/>
          <w:color w:val="000000"/>
          <w:lang w:val="en-US"/>
        </w:rPr>
        <w:t xml:space="preserve">borders represent the I and III quartile of the distribution, the </w:t>
      </w:r>
      <w:r w:rsidR="00D51BD9" w:rsidRPr="005011B1">
        <w:rPr>
          <w:noProof/>
          <w:color w:val="000000"/>
          <w:lang w:val="en-US"/>
        </w:rPr>
        <w:t>segment inside the box represent the median value of the distribution, the</w:t>
      </w:r>
      <w:r w:rsidR="00515DFF" w:rsidRPr="005011B1">
        <w:rPr>
          <w:noProof/>
          <w:color w:val="000000"/>
          <w:lang w:val="en-US"/>
        </w:rPr>
        <w:t xml:space="preserve"> </w:t>
      </w:r>
      <w:r w:rsidR="00D51BD9" w:rsidRPr="005011B1">
        <w:rPr>
          <w:noProof/>
          <w:color w:val="000000"/>
          <w:lang w:val="en-US"/>
        </w:rPr>
        <w:t>v</w:t>
      </w:r>
      <w:r w:rsidR="001B6922" w:rsidRPr="005011B1">
        <w:rPr>
          <w:noProof/>
          <w:color w:val="000000"/>
          <w:lang w:val="en-US"/>
        </w:rPr>
        <w:t>e</w:t>
      </w:r>
      <w:r w:rsidR="00D51BD9" w:rsidRPr="005011B1">
        <w:rPr>
          <w:noProof/>
          <w:color w:val="000000"/>
          <w:lang w:val="en-US"/>
        </w:rPr>
        <w:t xml:space="preserve">rtical lines above and </w:t>
      </w:r>
      <w:r w:rsidR="00515DFF" w:rsidRPr="005011B1">
        <w:rPr>
          <w:noProof/>
          <w:color w:val="000000"/>
          <w:lang w:val="en-US"/>
        </w:rPr>
        <w:t>below</w:t>
      </w:r>
      <w:r w:rsidR="00D51BD9" w:rsidRPr="005011B1">
        <w:rPr>
          <w:noProof/>
          <w:color w:val="000000"/>
          <w:lang w:val="en-US"/>
        </w:rPr>
        <w:t xml:space="preserve"> the box </w:t>
      </w:r>
      <w:r w:rsidR="008628E8" w:rsidRPr="005011B1">
        <w:rPr>
          <w:noProof/>
          <w:color w:val="000000"/>
          <w:lang w:val="en-US"/>
        </w:rPr>
        <w:t xml:space="preserve">extend up to 1.5 times the </w:t>
      </w:r>
      <w:r w:rsidR="00A4100F" w:rsidRPr="005011B1">
        <w:rPr>
          <w:noProof/>
          <w:color w:val="000000"/>
          <w:lang w:val="en-US"/>
        </w:rPr>
        <w:t>I</w:t>
      </w:r>
      <w:r w:rsidR="008628E8" w:rsidRPr="005011B1">
        <w:rPr>
          <w:noProof/>
          <w:color w:val="000000"/>
          <w:lang w:val="en-US"/>
        </w:rPr>
        <w:t>nter-</w:t>
      </w:r>
      <w:r w:rsidR="00A4100F" w:rsidRPr="005011B1">
        <w:rPr>
          <w:noProof/>
          <w:color w:val="000000"/>
          <w:lang w:val="en-US"/>
        </w:rPr>
        <w:t>Q</w:t>
      </w:r>
      <w:r w:rsidR="008628E8" w:rsidRPr="005011B1">
        <w:rPr>
          <w:noProof/>
          <w:color w:val="000000"/>
          <w:lang w:val="en-US"/>
        </w:rPr>
        <w:t xml:space="preserve">uaritle </w:t>
      </w:r>
      <w:r w:rsidR="00A4100F" w:rsidRPr="005011B1">
        <w:rPr>
          <w:noProof/>
          <w:color w:val="000000"/>
          <w:lang w:val="en-US"/>
        </w:rPr>
        <w:t>R</w:t>
      </w:r>
      <w:r w:rsidR="008628E8" w:rsidRPr="005011B1">
        <w:rPr>
          <w:noProof/>
          <w:color w:val="000000"/>
          <w:lang w:val="en-US"/>
        </w:rPr>
        <w:t>ange (</w:t>
      </w:r>
      <w:r w:rsidR="00A4100F" w:rsidRPr="005011B1">
        <w:rPr>
          <w:noProof/>
          <w:color w:val="000000"/>
          <w:lang w:val="en-US"/>
        </w:rPr>
        <w:t xml:space="preserve">IQR, </w:t>
      </w:r>
      <w:r w:rsidR="008628E8" w:rsidRPr="005011B1">
        <w:rPr>
          <w:noProof/>
          <w:color w:val="000000"/>
          <w:lang w:val="en-US"/>
        </w:rPr>
        <w:t>i.e., the heigth of the box)</w:t>
      </w:r>
      <w:r w:rsidR="00A4100F" w:rsidRPr="005011B1">
        <w:rPr>
          <w:noProof/>
          <w:color w:val="000000"/>
          <w:lang w:val="en-US"/>
        </w:rPr>
        <w:t>, observation</w:t>
      </w:r>
      <w:r w:rsidR="007448FE" w:rsidRPr="005011B1">
        <w:rPr>
          <w:noProof/>
          <w:color w:val="000000"/>
          <w:lang w:val="en-US"/>
        </w:rPr>
        <w:t>s</w:t>
      </w:r>
      <w:r w:rsidR="00A4100F" w:rsidRPr="005011B1">
        <w:rPr>
          <w:noProof/>
          <w:color w:val="000000"/>
          <w:lang w:val="en-US"/>
        </w:rPr>
        <w:t xml:space="preserve"> </w:t>
      </w:r>
      <w:r w:rsidR="007448FE" w:rsidRPr="005011B1">
        <w:rPr>
          <w:noProof/>
          <w:color w:val="000000"/>
          <w:lang w:val="en-US"/>
        </w:rPr>
        <w:t xml:space="preserve">that </w:t>
      </w:r>
      <w:r w:rsidR="00A4100F" w:rsidRPr="005011B1">
        <w:rPr>
          <w:noProof/>
          <w:color w:val="000000"/>
          <w:lang w:val="en-US"/>
        </w:rPr>
        <w:t>exced</w:t>
      </w:r>
      <w:r w:rsidR="007448FE" w:rsidRPr="005011B1">
        <w:rPr>
          <w:noProof/>
          <w:color w:val="000000"/>
          <w:lang w:val="en-US"/>
        </w:rPr>
        <w:t>e</w:t>
      </w:r>
      <w:r w:rsidR="00A4100F" w:rsidRPr="005011B1">
        <w:rPr>
          <w:noProof/>
          <w:color w:val="000000"/>
          <w:lang w:val="en-US"/>
        </w:rPr>
        <w:t xml:space="preserve"> 1.5 times the IQR</w:t>
      </w:r>
      <w:r w:rsidR="004719BF" w:rsidRPr="005011B1">
        <w:rPr>
          <w:noProof/>
          <w:color w:val="000000"/>
          <w:lang w:val="en-US"/>
        </w:rPr>
        <w:t xml:space="preserve"> </w:t>
      </w:r>
      <w:r w:rsidR="00A4100F" w:rsidRPr="005011B1">
        <w:rPr>
          <w:noProof/>
          <w:color w:val="000000"/>
          <w:lang w:val="en-US"/>
        </w:rPr>
        <w:t xml:space="preserve">are considered outliers and </w:t>
      </w:r>
      <w:r w:rsidR="007448FE" w:rsidRPr="005011B1">
        <w:rPr>
          <w:noProof/>
          <w:color w:val="000000"/>
          <w:lang w:val="en-US"/>
        </w:rPr>
        <w:t xml:space="preserve">they are </w:t>
      </w:r>
      <w:r w:rsidR="00295AD9" w:rsidRPr="005011B1">
        <w:rPr>
          <w:noProof/>
          <w:color w:val="000000"/>
          <w:lang w:val="en-US"/>
        </w:rPr>
        <w:t xml:space="preserve">drawn </w:t>
      </w:r>
      <w:r w:rsidR="002364BF">
        <w:rPr>
          <w:noProof/>
          <w:color w:val="000000"/>
          <w:lang w:val="en-US"/>
        </w:rPr>
        <w:t xml:space="preserve">as </w:t>
      </w:r>
      <w:r w:rsidR="00A4100F" w:rsidRPr="005011B1">
        <w:rPr>
          <w:noProof/>
          <w:color w:val="000000"/>
          <w:lang w:val="en-US"/>
        </w:rPr>
        <w:t>sing</w:t>
      </w:r>
      <w:r w:rsidR="000F478E" w:rsidRPr="005011B1">
        <w:rPr>
          <w:noProof/>
          <w:color w:val="000000"/>
          <w:lang w:val="en-US"/>
        </w:rPr>
        <w:t>ular</w:t>
      </w:r>
      <w:r w:rsidR="00A4100F" w:rsidRPr="005011B1">
        <w:rPr>
          <w:noProof/>
          <w:color w:val="000000"/>
          <w:lang w:val="en-US"/>
        </w:rPr>
        <w:t xml:space="preserve"> dots.</w:t>
      </w:r>
      <w:r w:rsidR="00EC0517" w:rsidRPr="005011B1">
        <w:rPr>
          <w:noProof/>
          <w:color w:val="000000"/>
          <w:lang w:val="en-US"/>
        </w:rPr>
        <w:t xml:space="preserve"> Boxes are drawn with widths proportional to the square-roots of the number of observations in the groups</w:t>
      </w:r>
      <w:r w:rsidR="001D0478" w:rsidRPr="005011B1">
        <w:rPr>
          <w:noProof/>
          <w:color w:val="000000"/>
          <w:lang w:val="en-US"/>
        </w:rPr>
        <w:t>.</w:t>
      </w:r>
    </w:p>
    <w:p w14:paraId="1A0EC682" w14:textId="08080D88" w:rsidR="008D69BF" w:rsidRPr="005011B1" w:rsidRDefault="006F5620" w:rsidP="00795821">
      <w:pPr>
        <w:spacing w:line="480" w:lineRule="auto"/>
        <w:rPr>
          <w:color w:val="000000"/>
          <w:lang w:val="en-US"/>
        </w:rPr>
      </w:pPr>
      <w:r>
        <w:rPr>
          <w:noProof/>
          <w:color w:val="000000"/>
          <w:lang w:val="en-US"/>
        </w:rPr>
        <w:t>In detail, the median service life was: a)Primary Prevention</w:t>
      </w:r>
      <w:r w:rsidR="00E53B86">
        <w:rPr>
          <w:noProof/>
          <w:color w:val="000000"/>
          <w:lang w:val="en-US"/>
        </w:rPr>
        <w:t>:</w:t>
      </w:r>
      <w:r>
        <w:rPr>
          <w:noProof/>
          <w:color w:val="000000"/>
          <w:lang w:val="en-US"/>
        </w:rPr>
        <w:t xml:space="preserve"> ICD-VR 67.5 IQR 37.6 months, ICD-DR 64.6 IQR 28.0 months, CRT-D 51.9 IQR 20.5 months; b) Secondary Prevention</w:t>
      </w:r>
      <w:r w:rsidR="00E53B86">
        <w:rPr>
          <w:noProof/>
          <w:color w:val="000000"/>
          <w:lang w:val="en-US"/>
        </w:rPr>
        <w:t>:</w:t>
      </w:r>
      <w:r>
        <w:rPr>
          <w:noProof/>
          <w:color w:val="000000"/>
          <w:lang w:val="en-US"/>
        </w:rPr>
        <w:t xml:space="preserve"> ICD-VR 66.2 IQR 33.6 months, ICD-DR 61.9 IQR 27.2 months, CRT-D 49.1 IQR 20.8 months.</w:t>
      </w:r>
    </w:p>
    <w:p w14:paraId="1953805B" w14:textId="77777777" w:rsidR="005D56AD" w:rsidRPr="005011B1" w:rsidRDefault="000727FF">
      <w:pPr>
        <w:rPr>
          <w:color w:val="000000"/>
          <w:lang w:val="en-US"/>
        </w:rPr>
      </w:pPr>
      <w:r w:rsidRPr="005011B1">
        <w:rPr>
          <w:noProof/>
          <w:color w:val="000000"/>
          <w:lang w:val="en-GB" w:eastAsia="en-GB"/>
        </w:rPr>
        <w:drawing>
          <wp:inline distT="0" distB="0" distL="0" distR="0" wp14:anchorId="10B7754D" wp14:editId="691BB95A">
            <wp:extent cx="5721985" cy="4291330"/>
            <wp:effectExtent l="0" t="0" r="0" b="0"/>
            <wp:docPr id="1" name="Immagin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7"/>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1985" cy="4291330"/>
                    </a:xfrm>
                    <a:prstGeom prst="rect">
                      <a:avLst/>
                    </a:prstGeom>
                    <a:noFill/>
                    <a:ln>
                      <a:noFill/>
                    </a:ln>
                  </pic:spPr>
                </pic:pic>
              </a:graphicData>
            </a:graphic>
          </wp:inline>
        </w:drawing>
      </w:r>
    </w:p>
    <w:p w14:paraId="336FF209" w14:textId="77777777" w:rsidR="00A9429F" w:rsidRPr="005011B1" w:rsidRDefault="00A9429F" w:rsidP="00795821">
      <w:pPr>
        <w:spacing w:line="480" w:lineRule="auto"/>
        <w:rPr>
          <w:color w:val="000000"/>
          <w:lang w:val="en-US"/>
        </w:rPr>
      </w:pPr>
    </w:p>
    <w:p w14:paraId="6649F46C" w14:textId="4C5F98D3" w:rsidR="005D56AD" w:rsidRPr="005011B1" w:rsidRDefault="00601012" w:rsidP="00795821">
      <w:pPr>
        <w:spacing w:line="480" w:lineRule="auto"/>
        <w:rPr>
          <w:color w:val="000000"/>
          <w:lang w:val="en-US"/>
        </w:rPr>
      </w:pPr>
      <w:r w:rsidRPr="005011B1">
        <w:rPr>
          <w:color w:val="000000"/>
          <w:lang w:val="en-US"/>
        </w:rPr>
        <w:lastRenderedPageBreak/>
        <w:t xml:space="preserve">Figure 2. </w:t>
      </w:r>
      <w:r w:rsidR="00C72E9C" w:rsidRPr="005011B1">
        <w:rPr>
          <w:color w:val="000000"/>
          <w:lang w:val="en-US"/>
        </w:rPr>
        <w:t>Trends</w:t>
      </w:r>
      <w:r w:rsidR="000339E0" w:rsidRPr="005011B1">
        <w:rPr>
          <w:color w:val="000000"/>
          <w:lang w:val="en-US"/>
        </w:rPr>
        <w:t xml:space="preserve"> of </w:t>
      </w:r>
      <w:r w:rsidR="004516DD" w:rsidRPr="005011B1">
        <w:rPr>
          <w:color w:val="000000"/>
          <w:lang w:val="en-US"/>
        </w:rPr>
        <w:t xml:space="preserve">the </w:t>
      </w:r>
      <w:r w:rsidR="000339E0" w:rsidRPr="005011B1">
        <w:rPr>
          <w:color w:val="000000"/>
          <w:lang w:val="en-US"/>
        </w:rPr>
        <w:t>ICD service-life</w:t>
      </w:r>
      <w:r w:rsidR="004516DD" w:rsidRPr="005011B1">
        <w:rPr>
          <w:color w:val="000000"/>
          <w:lang w:val="en-US"/>
        </w:rPr>
        <w:t>’s distributions</w:t>
      </w:r>
      <w:r w:rsidR="000339E0" w:rsidRPr="005011B1">
        <w:rPr>
          <w:color w:val="000000"/>
          <w:lang w:val="en-US"/>
        </w:rPr>
        <w:t xml:space="preserve"> </w:t>
      </w:r>
      <w:r w:rsidR="004516DD" w:rsidRPr="005011B1">
        <w:rPr>
          <w:color w:val="000000"/>
          <w:lang w:val="en-US"/>
        </w:rPr>
        <w:t>across</w:t>
      </w:r>
      <w:r w:rsidR="000339E0" w:rsidRPr="005011B1">
        <w:rPr>
          <w:color w:val="000000"/>
          <w:lang w:val="en-US"/>
        </w:rPr>
        <w:t xml:space="preserve"> </w:t>
      </w:r>
      <w:r w:rsidR="00E1075F">
        <w:rPr>
          <w:color w:val="000000"/>
          <w:lang w:val="en-US"/>
        </w:rPr>
        <w:t xml:space="preserve">the </w:t>
      </w:r>
      <w:r w:rsidR="000339E0" w:rsidRPr="005011B1">
        <w:rPr>
          <w:color w:val="000000"/>
          <w:lang w:val="en-US"/>
        </w:rPr>
        <w:t>year</w:t>
      </w:r>
      <w:r w:rsidR="004516DD" w:rsidRPr="005011B1">
        <w:rPr>
          <w:color w:val="000000"/>
          <w:lang w:val="en-US"/>
        </w:rPr>
        <w:t>s</w:t>
      </w:r>
      <w:r w:rsidR="000339E0" w:rsidRPr="005011B1">
        <w:rPr>
          <w:color w:val="000000"/>
          <w:lang w:val="en-US"/>
        </w:rPr>
        <w:t xml:space="preserve"> according to ICD type</w:t>
      </w:r>
      <w:r w:rsidR="004516DD" w:rsidRPr="005011B1">
        <w:rPr>
          <w:color w:val="000000"/>
          <w:lang w:val="en-US"/>
        </w:rPr>
        <w:t>.</w:t>
      </w:r>
      <w:r w:rsidR="000339E0" w:rsidRPr="005011B1">
        <w:rPr>
          <w:color w:val="000000"/>
          <w:lang w:val="en-US"/>
        </w:rPr>
        <w:t xml:space="preserve"> </w:t>
      </w:r>
    </w:p>
    <w:p w14:paraId="3E32CF64" w14:textId="77777777" w:rsidR="00D83974" w:rsidRPr="005011B1" w:rsidRDefault="000727FF" w:rsidP="00795821">
      <w:pPr>
        <w:spacing w:line="480" w:lineRule="auto"/>
        <w:rPr>
          <w:color w:val="000000"/>
          <w:lang w:val="en-US"/>
        </w:rPr>
      </w:pPr>
      <w:r w:rsidRPr="005011B1">
        <w:rPr>
          <w:noProof/>
          <w:color w:val="000000"/>
          <w:lang w:val="en-GB" w:eastAsia="en-GB"/>
        </w:rPr>
        <w:drawing>
          <wp:inline distT="0" distB="0" distL="0" distR="0" wp14:anchorId="67A29C3E" wp14:editId="6450DB9A">
            <wp:extent cx="5727700" cy="4297045"/>
            <wp:effectExtent l="0" t="0" r="0" b="0"/>
            <wp:docPr id="2" name="Immagin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4297045"/>
                    </a:xfrm>
                    <a:prstGeom prst="rect">
                      <a:avLst/>
                    </a:prstGeom>
                    <a:noFill/>
                    <a:ln>
                      <a:noFill/>
                    </a:ln>
                  </pic:spPr>
                </pic:pic>
              </a:graphicData>
            </a:graphic>
          </wp:inline>
        </w:drawing>
      </w:r>
    </w:p>
    <w:p w14:paraId="3E4B0858" w14:textId="77777777" w:rsidR="001A664F" w:rsidRPr="005011B1" w:rsidRDefault="001A664F" w:rsidP="00795821">
      <w:pPr>
        <w:spacing w:line="480" w:lineRule="auto"/>
        <w:rPr>
          <w:color w:val="000000"/>
          <w:lang w:val="en-US"/>
        </w:rPr>
      </w:pPr>
    </w:p>
    <w:p w14:paraId="5F8BE9B7" w14:textId="77777777" w:rsidR="001A664F" w:rsidRPr="005011B1" w:rsidRDefault="001A664F" w:rsidP="00795821">
      <w:pPr>
        <w:spacing w:line="480" w:lineRule="auto"/>
        <w:rPr>
          <w:color w:val="000000"/>
          <w:lang w:val="en-US"/>
        </w:rPr>
      </w:pPr>
    </w:p>
    <w:p w14:paraId="1591F1D7" w14:textId="77777777" w:rsidR="009F56A2" w:rsidRPr="005011B1" w:rsidRDefault="009F56A2" w:rsidP="00795821">
      <w:pPr>
        <w:spacing w:line="480" w:lineRule="auto"/>
        <w:rPr>
          <w:color w:val="000000"/>
          <w:lang w:val="en-US"/>
        </w:rPr>
      </w:pPr>
    </w:p>
    <w:p w14:paraId="1AF78F36" w14:textId="77777777" w:rsidR="009F56A2" w:rsidRPr="005011B1" w:rsidRDefault="009F56A2" w:rsidP="00795821">
      <w:pPr>
        <w:spacing w:line="480" w:lineRule="auto"/>
        <w:rPr>
          <w:color w:val="000000"/>
          <w:lang w:val="en-US"/>
        </w:rPr>
      </w:pPr>
    </w:p>
    <w:p w14:paraId="263DD6BF" w14:textId="77777777" w:rsidR="005D56AD" w:rsidRPr="005011B1" w:rsidRDefault="005D56AD">
      <w:pPr>
        <w:rPr>
          <w:color w:val="000000"/>
          <w:lang w:val="en-US"/>
        </w:rPr>
      </w:pPr>
      <w:r w:rsidRPr="005011B1">
        <w:rPr>
          <w:color w:val="000000"/>
          <w:lang w:val="en-US"/>
        </w:rPr>
        <w:br w:type="page"/>
      </w:r>
    </w:p>
    <w:p w14:paraId="760C9BBE" w14:textId="099604C2" w:rsidR="002D6F8C" w:rsidRPr="005011B1" w:rsidRDefault="009F56A2" w:rsidP="00795821">
      <w:pPr>
        <w:spacing w:line="480" w:lineRule="auto"/>
        <w:rPr>
          <w:color w:val="000000"/>
          <w:lang w:val="en-US"/>
        </w:rPr>
      </w:pPr>
      <w:r w:rsidRPr="005011B1">
        <w:rPr>
          <w:color w:val="000000"/>
          <w:lang w:val="en-US"/>
        </w:rPr>
        <w:lastRenderedPageBreak/>
        <w:t xml:space="preserve">Figure 3. </w:t>
      </w:r>
      <w:r w:rsidR="002F4D52">
        <w:rPr>
          <w:color w:val="000000"/>
          <w:lang w:val="en-US"/>
        </w:rPr>
        <w:t>Model fitted by ICD type</w:t>
      </w:r>
      <w:r w:rsidR="00E3495A">
        <w:rPr>
          <w:color w:val="000000"/>
          <w:lang w:val="en-US"/>
        </w:rPr>
        <w:t>: t</w:t>
      </w:r>
      <w:r w:rsidR="002D6F8C" w:rsidRPr="005011B1">
        <w:rPr>
          <w:color w:val="000000"/>
          <w:lang w:val="en-US"/>
        </w:rPr>
        <w:t xml:space="preserve">rend of the expected service-life as modelled by the </w:t>
      </w:r>
      <w:proofErr w:type="spellStart"/>
      <w:proofErr w:type="gramStart"/>
      <w:r w:rsidR="002D6F8C" w:rsidRPr="005011B1">
        <w:rPr>
          <w:color w:val="000000"/>
          <w:lang w:val="en-US"/>
        </w:rPr>
        <w:t>years</w:t>
      </w:r>
      <w:r w:rsidR="00E3495A">
        <w:rPr>
          <w:color w:val="000000"/>
          <w:lang w:val="en-US"/>
        </w:rPr>
        <w:t>.</w:t>
      </w:r>
      <w:r w:rsidR="00405744" w:rsidRPr="005011B1">
        <w:rPr>
          <w:color w:val="000000"/>
          <w:lang w:val="en-US"/>
        </w:rPr>
        <w:t>Vertical</w:t>
      </w:r>
      <w:proofErr w:type="spellEnd"/>
      <w:proofErr w:type="gramEnd"/>
      <w:r w:rsidR="00405744" w:rsidRPr="005011B1">
        <w:rPr>
          <w:color w:val="000000"/>
          <w:lang w:val="en-US"/>
        </w:rPr>
        <w:t xml:space="preserve"> bars represent the original data. Shadows represent the 95% confidence interval for the drowned lines.</w:t>
      </w:r>
    </w:p>
    <w:p w14:paraId="43ECF0C4" w14:textId="785A6C39" w:rsidR="000339E0" w:rsidRPr="005011B1" w:rsidRDefault="000339E0" w:rsidP="00795821">
      <w:pPr>
        <w:spacing w:line="480" w:lineRule="auto"/>
        <w:rPr>
          <w:color w:val="000000"/>
          <w:lang w:val="en-US"/>
        </w:rPr>
      </w:pPr>
    </w:p>
    <w:p w14:paraId="73DD6D4F" w14:textId="77777777" w:rsidR="00D878A3" w:rsidRPr="005011B1" w:rsidRDefault="000727FF" w:rsidP="00795821">
      <w:pPr>
        <w:spacing w:line="480" w:lineRule="auto"/>
        <w:rPr>
          <w:color w:val="000000"/>
          <w:lang w:val="en-US"/>
        </w:rPr>
      </w:pPr>
      <w:r w:rsidRPr="005011B1">
        <w:rPr>
          <w:noProof/>
          <w:color w:val="000000"/>
          <w:lang w:val="en-GB" w:eastAsia="en-GB"/>
        </w:rPr>
        <w:drawing>
          <wp:inline distT="0" distB="0" distL="0" distR="0" wp14:anchorId="75E7F3D4" wp14:editId="5E8206F9">
            <wp:extent cx="5721985" cy="4291330"/>
            <wp:effectExtent l="0" t="0" r="0" b="0"/>
            <wp:docPr id="4" name="Immagin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magine 11"/>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1985" cy="4291330"/>
                    </a:xfrm>
                    <a:prstGeom prst="rect">
                      <a:avLst/>
                    </a:prstGeom>
                    <a:noFill/>
                    <a:ln>
                      <a:noFill/>
                    </a:ln>
                  </pic:spPr>
                </pic:pic>
              </a:graphicData>
            </a:graphic>
          </wp:inline>
        </w:drawing>
      </w:r>
    </w:p>
    <w:sectPr w:rsidR="00D878A3" w:rsidRPr="005011B1" w:rsidSect="006F35ED">
      <w:footerReference w:type="even" r:id="rId11"/>
      <w:footerReference w:type="default" r:id="rId12"/>
      <w:pgSz w:w="11900" w:h="16840"/>
      <w:pgMar w:top="1440" w:right="1440" w:bottom="1440" w:left="1440" w:header="709" w:footer="709" w:gutter="0"/>
      <w:lnNumType w:countBy="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BC90C9" w14:textId="77777777" w:rsidR="000F5254" w:rsidRDefault="000F5254" w:rsidP="00750BE7">
      <w:r>
        <w:separator/>
      </w:r>
    </w:p>
  </w:endnote>
  <w:endnote w:type="continuationSeparator" w:id="0">
    <w:p w14:paraId="42BD48AC" w14:textId="77777777" w:rsidR="000F5254" w:rsidRDefault="000F5254" w:rsidP="00750B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Lucida Grande">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EB6C9" w14:textId="77777777" w:rsidR="00F243AB" w:rsidRDefault="00F243AB" w:rsidP="00AE120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39873222" w14:textId="77777777" w:rsidR="00F243AB" w:rsidRDefault="00F243A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0B5BAE" w14:textId="630A1889" w:rsidR="00F243AB" w:rsidRDefault="00F243AB" w:rsidP="00AE120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p w14:paraId="45C90198" w14:textId="77777777" w:rsidR="00F243AB" w:rsidRDefault="00F243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A0417E" w14:textId="77777777" w:rsidR="000F5254" w:rsidRDefault="000F5254" w:rsidP="00750BE7">
      <w:r>
        <w:separator/>
      </w:r>
    </w:p>
  </w:footnote>
  <w:footnote w:type="continuationSeparator" w:id="0">
    <w:p w14:paraId="240A6C96" w14:textId="77777777" w:rsidR="000F5254" w:rsidRDefault="000F5254" w:rsidP="00750B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CE24A2"/>
    <w:multiLevelType w:val="hybridMultilevel"/>
    <w:tmpl w:val="A36609A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56362EA3"/>
    <w:multiLevelType w:val="hybridMultilevel"/>
    <w:tmpl w:val="925C4A92"/>
    <w:lvl w:ilvl="0" w:tplc="2498674E">
      <w:start w:val="2"/>
      <w:numFmt w:val="bullet"/>
      <w:lvlText w:val=""/>
      <w:lvlJc w:val="left"/>
      <w:pPr>
        <w:ind w:left="720" w:hanging="360"/>
      </w:pPr>
      <w:rPr>
        <w:rFonts w:ascii="Symbol" w:eastAsia="Calibri"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UzM7AwNrUwBBJGBko6SsGpxcWZ+XkgBYa1AJPLyQwsAAAA"/>
  </w:docVars>
  <w:rsids>
    <w:rsidRoot w:val="001E5442"/>
    <w:rsid w:val="0000150C"/>
    <w:rsid w:val="0000456A"/>
    <w:rsid w:val="00006442"/>
    <w:rsid w:val="00007ACD"/>
    <w:rsid w:val="00010BC0"/>
    <w:rsid w:val="00015622"/>
    <w:rsid w:val="00021350"/>
    <w:rsid w:val="00025EFD"/>
    <w:rsid w:val="000329D7"/>
    <w:rsid w:val="000339E0"/>
    <w:rsid w:val="0004146A"/>
    <w:rsid w:val="00051C2E"/>
    <w:rsid w:val="000534FF"/>
    <w:rsid w:val="000558AF"/>
    <w:rsid w:val="00057555"/>
    <w:rsid w:val="000628EA"/>
    <w:rsid w:val="00064BB9"/>
    <w:rsid w:val="00067574"/>
    <w:rsid w:val="000705EA"/>
    <w:rsid w:val="00070804"/>
    <w:rsid w:val="000727FF"/>
    <w:rsid w:val="000740B4"/>
    <w:rsid w:val="00076694"/>
    <w:rsid w:val="00081334"/>
    <w:rsid w:val="00083561"/>
    <w:rsid w:val="00087128"/>
    <w:rsid w:val="00087799"/>
    <w:rsid w:val="0009051A"/>
    <w:rsid w:val="000939EA"/>
    <w:rsid w:val="000942FD"/>
    <w:rsid w:val="00096A3A"/>
    <w:rsid w:val="000A2D7E"/>
    <w:rsid w:val="000A3FB3"/>
    <w:rsid w:val="000B37B9"/>
    <w:rsid w:val="000B3C56"/>
    <w:rsid w:val="000C1490"/>
    <w:rsid w:val="000C594F"/>
    <w:rsid w:val="000D239B"/>
    <w:rsid w:val="000E1DA6"/>
    <w:rsid w:val="000E5189"/>
    <w:rsid w:val="000F478E"/>
    <w:rsid w:val="000F5254"/>
    <w:rsid w:val="000F598A"/>
    <w:rsid w:val="001059C4"/>
    <w:rsid w:val="00106705"/>
    <w:rsid w:val="001115B5"/>
    <w:rsid w:val="00111F4D"/>
    <w:rsid w:val="00117FE6"/>
    <w:rsid w:val="00121495"/>
    <w:rsid w:val="001214C8"/>
    <w:rsid w:val="00122CB2"/>
    <w:rsid w:val="00123279"/>
    <w:rsid w:val="00127AF0"/>
    <w:rsid w:val="001300EB"/>
    <w:rsid w:val="001320FB"/>
    <w:rsid w:val="001333FF"/>
    <w:rsid w:val="0013713F"/>
    <w:rsid w:val="00142DC8"/>
    <w:rsid w:val="00153CA1"/>
    <w:rsid w:val="001643CC"/>
    <w:rsid w:val="0016496F"/>
    <w:rsid w:val="001676C0"/>
    <w:rsid w:val="00170B7B"/>
    <w:rsid w:val="0017410B"/>
    <w:rsid w:val="00174869"/>
    <w:rsid w:val="00180234"/>
    <w:rsid w:val="001815B0"/>
    <w:rsid w:val="00182498"/>
    <w:rsid w:val="001852E1"/>
    <w:rsid w:val="00191368"/>
    <w:rsid w:val="0019368A"/>
    <w:rsid w:val="001960EC"/>
    <w:rsid w:val="001975FE"/>
    <w:rsid w:val="001A349E"/>
    <w:rsid w:val="001A4F24"/>
    <w:rsid w:val="001A664F"/>
    <w:rsid w:val="001A6C6C"/>
    <w:rsid w:val="001B644C"/>
    <w:rsid w:val="001B6922"/>
    <w:rsid w:val="001B7E71"/>
    <w:rsid w:val="001C064C"/>
    <w:rsid w:val="001C3F13"/>
    <w:rsid w:val="001D0478"/>
    <w:rsid w:val="001D4EDC"/>
    <w:rsid w:val="001D570E"/>
    <w:rsid w:val="001D6F2D"/>
    <w:rsid w:val="001E0CE9"/>
    <w:rsid w:val="001E326D"/>
    <w:rsid w:val="001E36C7"/>
    <w:rsid w:val="001E5442"/>
    <w:rsid w:val="001E5DA5"/>
    <w:rsid w:val="001F1791"/>
    <w:rsid w:val="001F2ABD"/>
    <w:rsid w:val="001F6034"/>
    <w:rsid w:val="001F68A1"/>
    <w:rsid w:val="00200F46"/>
    <w:rsid w:val="00203038"/>
    <w:rsid w:val="00212F5E"/>
    <w:rsid w:val="002156A1"/>
    <w:rsid w:val="00221B99"/>
    <w:rsid w:val="002238F1"/>
    <w:rsid w:val="00226768"/>
    <w:rsid w:val="002275BB"/>
    <w:rsid w:val="00235FA2"/>
    <w:rsid w:val="002364BF"/>
    <w:rsid w:val="00237341"/>
    <w:rsid w:val="002432A8"/>
    <w:rsid w:val="00247567"/>
    <w:rsid w:val="00247D2C"/>
    <w:rsid w:val="00251846"/>
    <w:rsid w:val="00266AB2"/>
    <w:rsid w:val="002670AA"/>
    <w:rsid w:val="00276081"/>
    <w:rsid w:val="002840AA"/>
    <w:rsid w:val="002852BA"/>
    <w:rsid w:val="00295AD9"/>
    <w:rsid w:val="002968BD"/>
    <w:rsid w:val="002A1CC4"/>
    <w:rsid w:val="002A356A"/>
    <w:rsid w:val="002A5550"/>
    <w:rsid w:val="002A607A"/>
    <w:rsid w:val="002B6845"/>
    <w:rsid w:val="002C60E8"/>
    <w:rsid w:val="002D1559"/>
    <w:rsid w:val="002D26DD"/>
    <w:rsid w:val="002D40FC"/>
    <w:rsid w:val="002D4F31"/>
    <w:rsid w:val="002D52FE"/>
    <w:rsid w:val="002D6479"/>
    <w:rsid w:val="002D6F8C"/>
    <w:rsid w:val="002E007B"/>
    <w:rsid w:val="002E0FD9"/>
    <w:rsid w:val="002E12C6"/>
    <w:rsid w:val="002E1856"/>
    <w:rsid w:val="002E22C9"/>
    <w:rsid w:val="002E2DD1"/>
    <w:rsid w:val="002E4DCD"/>
    <w:rsid w:val="002F0E73"/>
    <w:rsid w:val="002F4D52"/>
    <w:rsid w:val="002F75FB"/>
    <w:rsid w:val="00303CF3"/>
    <w:rsid w:val="00307615"/>
    <w:rsid w:val="00307C55"/>
    <w:rsid w:val="00312277"/>
    <w:rsid w:val="0031400E"/>
    <w:rsid w:val="00314987"/>
    <w:rsid w:val="003162EC"/>
    <w:rsid w:val="00317B6E"/>
    <w:rsid w:val="0032098C"/>
    <w:rsid w:val="003239A9"/>
    <w:rsid w:val="0032504F"/>
    <w:rsid w:val="003357ED"/>
    <w:rsid w:val="003364A5"/>
    <w:rsid w:val="00336CE2"/>
    <w:rsid w:val="00347663"/>
    <w:rsid w:val="0035308C"/>
    <w:rsid w:val="00354E88"/>
    <w:rsid w:val="0035503D"/>
    <w:rsid w:val="00360166"/>
    <w:rsid w:val="00364375"/>
    <w:rsid w:val="00377386"/>
    <w:rsid w:val="0038795C"/>
    <w:rsid w:val="00391BE7"/>
    <w:rsid w:val="00395F7F"/>
    <w:rsid w:val="003A3430"/>
    <w:rsid w:val="003A349A"/>
    <w:rsid w:val="003A6561"/>
    <w:rsid w:val="003A78B3"/>
    <w:rsid w:val="003B5B45"/>
    <w:rsid w:val="003B6F49"/>
    <w:rsid w:val="003C247B"/>
    <w:rsid w:val="003C5FB3"/>
    <w:rsid w:val="003D00F5"/>
    <w:rsid w:val="003D18CB"/>
    <w:rsid w:val="003D2962"/>
    <w:rsid w:val="003E344A"/>
    <w:rsid w:val="003E5E78"/>
    <w:rsid w:val="003E66DC"/>
    <w:rsid w:val="003F54EA"/>
    <w:rsid w:val="003F7C83"/>
    <w:rsid w:val="00402E01"/>
    <w:rsid w:val="004046EA"/>
    <w:rsid w:val="00405744"/>
    <w:rsid w:val="0041647E"/>
    <w:rsid w:val="0041685B"/>
    <w:rsid w:val="00423643"/>
    <w:rsid w:val="00425315"/>
    <w:rsid w:val="00431D2E"/>
    <w:rsid w:val="004335E5"/>
    <w:rsid w:val="00434B1B"/>
    <w:rsid w:val="00434CD3"/>
    <w:rsid w:val="00434E90"/>
    <w:rsid w:val="00440811"/>
    <w:rsid w:val="00442D53"/>
    <w:rsid w:val="00451201"/>
    <w:rsid w:val="004516DD"/>
    <w:rsid w:val="0046211E"/>
    <w:rsid w:val="00462638"/>
    <w:rsid w:val="004644C9"/>
    <w:rsid w:val="00465C19"/>
    <w:rsid w:val="00467845"/>
    <w:rsid w:val="00467B8E"/>
    <w:rsid w:val="004719BF"/>
    <w:rsid w:val="00473955"/>
    <w:rsid w:val="00490391"/>
    <w:rsid w:val="00494703"/>
    <w:rsid w:val="004B5C72"/>
    <w:rsid w:val="004C36F6"/>
    <w:rsid w:val="004C4DD4"/>
    <w:rsid w:val="004D35FB"/>
    <w:rsid w:val="004D696E"/>
    <w:rsid w:val="004D70D5"/>
    <w:rsid w:val="004E12D5"/>
    <w:rsid w:val="005011B1"/>
    <w:rsid w:val="00505D45"/>
    <w:rsid w:val="00515DFF"/>
    <w:rsid w:val="00516203"/>
    <w:rsid w:val="005172B6"/>
    <w:rsid w:val="00523087"/>
    <w:rsid w:val="00523B95"/>
    <w:rsid w:val="00527AD3"/>
    <w:rsid w:val="00530308"/>
    <w:rsid w:val="00530309"/>
    <w:rsid w:val="005334F6"/>
    <w:rsid w:val="005372D4"/>
    <w:rsid w:val="00537F0E"/>
    <w:rsid w:val="005447F3"/>
    <w:rsid w:val="005456C7"/>
    <w:rsid w:val="00546101"/>
    <w:rsid w:val="00555900"/>
    <w:rsid w:val="0055678B"/>
    <w:rsid w:val="00556F46"/>
    <w:rsid w:val="0056111C"/>
    <w:rsid w:val="005673A2"/>
    <w:rsid w:val="00570B96"/>
    <w:rsid w:val="00576F4D"/>
    <w:rsid w:val="0058077E"/>
    <w:rsid w:val="005877F4"/>
    <w:rsid w:val="00587928"/>
    <w:rsid w:val="005932A2"/>
    <w:rsid w:val="005952BD"/>
    <w:rsid w:val="005A29FA"/>
    <w:rsid w:val="005A5A7A"/>
    <w:rsid w:val="005A6D20"/>
    <w:rsid w:val="005B57CC"/>
    <w:rsid w:val="005B5D40"/>
    <w:rsid w:val="005B62AB"/>
    <w:rsid w:val="005C2050"/>
    <w:rsid w:val="005C577E"/>
    <w:rsid w:val="005C6272"/>
    <w:rsid w:val="005C7671"/>
    <w:rsid w:val="005D0019"/>
    <w:rsid w:val="005D3269"/>
    <w:rsid w:val="005D34D8"/>
    <w:rsid w:val="005D56AD"/>
    <w:rsid w:val="005E4ED1"/>
    <w:rsid w:val="005E567D"/>
    <w:rsid w:val="005E59BA"/>
    <w:rsid w:val="005F1168"/>
    <w:rsid w:val="005F34E8"/>
    <w:rsid w:val="005F692A"/>
    <w:rsid w:val="00601012"/>
    <w:rsid w:val="006030EB"/>
    <w:rsid w:val="00603CEF"/>
    <w:rsid w:val="006066EB"/>
    <w:rsid w:val="00606866"/>
    <w:rsid w:val="006112F4"/>
    <w:rsid w:val="00613D25"/>
    <w:rsid w:val="00615B68"/>
    <w:rsid w:val="00621233"/>
    <w:rsid w:val="00634566"/>
    <w:rsid w:val="00635CCC"/>
    <w:rsid w:val="006407C8"/>
    <w:rsid w:val="00640BA1"/>
    <w:rsid w:val="00642F8B"/>
    <w:rsid w:val="0064720F"/>
    <w:rsid w:val="00657D3F"/>
    <w:rsid w:val="006620ED"/>
    <w:rsid w:val="006638EF"/>
    <w:rsid w:val="00664005"/>
    <w:rsid w:val="006720C3"/>
    <w:rsid w:val="00682A43"/>
    <w:rsid w:val="00690B64"/>
    <w:rsid w:val="00697FBA"/>
    <w:rsid w:val="006A1C40"/>
    <w:rsid w:val="006A3517"/>
    <w:rsid w:val="006B1922"/>
    <w:rsid w:val="006B2B97"/>
    <w:rsid w:val="006B2CD4"/>
    <w:rsid w:val="006B33CA"/>
    <w:rsid w:val="006B5C74"/>
    <w:rsid w:val="006B76AF"/>
    <w:rsid w:val="006D09D1"/>
    <w:rsid w:val="006D3716"/>
    <w:rsid w:val="006E3E1D"/>
    <w:rsid w:val="006E47AF"/>
    <w:rsid w:val="006E596C"/>
    <w:rsid w:val="006E733D"/>
    <w:rsid w:val="006F35ED"/>
    <w:rsid w:val="006F3F13"/>
    <w:rsid w:val="006F5620"/>
    <w:rsid w:val="00704445"/>
    <w:rsid w:val="00704451"/>
    <w:rsid w:val="007051D4"/>
    <w:rsid w:val="00710867"/>
    <w:rsid w:val="007108E5"/>
    <w:rsid w:val="00710DC4"/>
    <w:rsid w:val="0071549C"/>
    <w:rsid w:val="00715D80"/>
    <w:rsid w:val="0072047D"/>
    <w:rsid w:val="00720541"/>
    <w:rsid w:val="00720B6A"/>
    <w:rsid w:val="00723738"/>
    <w:rsid w:val="00725D12"/>
    <w:rsid w:val="00727984"/>
    <w:rsid w:val="007345A2"/>
    <w:rsid w:val="007448FE"/>
    <w:rsid w:val="00746BFB"/>
    <w:rsid w:val="00747E31"/>
    <w:rsid w:val="00750BE7"/>
    <w:rsid w:val="00754333"/>
    <w:rsid w:val="00756807"/>
    <w:rsid w:val="00757D47"/>
    <w:rsid w:val="007647D7"/>
    <w:rsid w:val="007745DF"/>
    <w:rsid w:val="00780D71"/>
    <w:rsid w:val="00785415"/>
    <w:rsid w:val="007927AE"/>
    <w:rsid w:val="007932CD"/>
    <w:rsid w:val="00793C42"/>
    <w:rsid w:val="00794F82"/>
    <w:rsid w:val="00795821"/>
    <w:rsid w:val="00795AA8"/>
    <w:rsid w:val="007A0704"/>
    <w:rsid w:val="007A4B7B"/>
    <w:rsid w:val="007A5FFC"/>
    <w:rsid w:val="007A778D"/>
    <w:rsid w:val="007B583D"/>
    <w:rsid w:val="007B6F20"/>
    <w:rsid w:val="007B7DD7"/>
    <w:rsid w:val="007B7EA7"/>
    <w:rsid w:val="007C31D2"/>
    <w:rsid w:val="007E439A"/>
    <w:rsid w:val="007F01EC"/>
    <w:rsid w:val="007F064E"/>
    <w:rsid w:val="007F256D"/>
    <w:rsid w:val="007F2ADA"/>
    <w:rsid w:val="007F371F"/>
    <w:rsid w:val="007F4A53"/>
    <w:rsid w:val="007F5461"/>
    <w:rsid w:val="0080037E"/>
    <w:rsid w:val="00814561"/>
    <w:rsid w:val="00814814"/>
    <w:rsid w:val="00814C0A"/>
    <w:rsid w:val="00815896"/>
    <w:rsid w:val="00820ED5"/>
    <w:rsid w:val="00834254"/>
    <w:rsid w:val="008347B2"/>
    <w:rsid w:val="00845CCE"/>
    <w:rsid w:val="0085160F"/>
    <w:rsid w:val="008532BE"/>
    <w:rsid w:val="0085707A"/>
    <w:rsid w:val="008628E8"/>
    <w:rsid w:val="00863F53"/>
    <w:rsid w:val="00866657"/>
    <w:rsid w:val="008705D1"/>
    <w:rsid w:val="00871077"/>
    <w:rsid w:val="008751F0"/>
    <w:rsid w:val="008925A3"/>
    <w:rsid w:val="008970D5"/>
    <w:rsid w:val="008A0901"/>
    <w:rsid w:val="008A2263"/>
    <w:rsid w:val="008A2E77"/>
    <w:rsid w:val="008B0BC5"/>
    <w:rsid w:val="008B1454"/>
    <w:rsid w:val="008B6420"/>
    <w:rsid w:val="008C3E81"/>
    <w:rsid w:val="008C6802"/>
    <w:rsid w:val="008D1B50"/>
    <w:rsid w:val="008D69BF"/>
    <w:rsid w:val="008E7400"/>
    <w:rsid w:val="008E7D3C"/>
    <w:rsid w:val="008F2524"/>
    <w:rsid w:val="008F5AEA"/>
    <w:rsid w:val="00905408"/>
    <w:rsid w:val="009100A6"/>
    <w:rsid w:val="00910CF6"/>
    <w:rsid w:val="00913803"/>
    <w:rsid w:val="009201F6"/>
    <w:rsid w:val="009274EF"/>
    <w:rsid w:val="009325B6"/>
    <w:rsid w:val="009329E4"/>
    <w:rsid w:val="00932D17"/>
    <w:rsid w:val="00934EAC"/>
    <w:rsid w:val="00934FBF"/>
    <w:rsid w:val="0094004F"/>
    <w:rsid w:val="009457D1"/>
    <w:rsid w:val="0095385D"/>
    <w:rsid w:val="00957C52"/>
    <w:rsid w:val="00967948"/>
    <w:rsid w:val="00970732"/>
    <w:rsid w:val="00970DA0"/>
    <w:rsid w:val="00972D4A"/>
    <w:rsid w:val="00980E99"/>
    <w:rsid w:val="00981260"/>
    <w:rsid w:val="00982585"/>
    <w:rsid w:val="00992C05"/>
    <w:rsid w:val="00993921"/>
    <w:rsid w:val="0099570B"/>
    <w:rsid w:val="009A1529"/>
    <w:rsid w:val="009A21CD"/>
    <w:rsid w:val="009A3D00"/>
    <w:rsid w:val="009A5BC3"/>
    <w:rsid w:val="009B12FB"/>
    <w:rsid w:val="009B567F"/>
    <w:rsid w:val="009C157B"/>
    <w:rsid w:val="009C32B6"/>
    <w:rsid w:val="009C3D1A"/>
    <w:rsid w:val="009C3EE5"/>
    <w:rsid w:val="009C48FD"/>
    <w:rsid w:val="009C5A24"/>
    <w:rsid w:val="009D2673"/>
    <w:rsid w:val="009D2CA9"/>
    <w:rsid w:val="009E207D"/>
    <w:rsid w:val="009F138E"/>
    <w:rsid w:val="009F56A2"/>
    <w:rsid w:val="00A021E1"/>
    <w:rsid w:val="00A219DD"/>
    <w:rsid w:val="00A231E5"/>
    <w:rsid w:val="00A25945"/>
    <w:rsid w:val="00A30C8C"/>
    <w:rsid w:val="00A33BAA"/>
    <w:rsid w:val="00A4100F"/>
    <w:rsid w:val="00A4479F"/>
    <w:rsid w:val="00A44DF0"/>
    <w:rsid w:val="00A50640"/>
    <w:rsid w:val="00A506CB"/>
    <w:rsid w:val="00A50BD1"/>
    <w:rsid w:val="00A50DC3"/>
    <w:rsid w:val="00A53268"/>
    <w:rsid w:val="00A56650"/>
    <w:rsid w:val="00A61DF0"/>
    <w:rsid w:val="00A63823"/>
    <w:rsid w:val="00A639D7"/>
    <w:rsid w:val="00A71754"/>
    <w:rsid w:val="00A74479"/>
    <w:rsid w:val="00A75A1D"/>
    <w:rsid w:val="00A77F69"/>
    <w:rsid w:val="00A8085C"/>
    <w:rsid w:val="00A81F29"/>
    <w:rsid w:val="00A821E2"/>
    <w:rsid w:val="00A8330E"/>
    <w:rsid w:val="00A835BC"/>
    <w:rsid w:val="00A83CEE"/>
    <w:rsid w:val="00A90968"/>
    <w:rsid w:val="00A93581"/>
    <w:rsid w:val="00A9429F"/>
    <w:rsid w:val="00A955E4"/>
    <w:rsid w:val="00AA4A2F"/>
    <w:rsid w:val="00AA5EDD"/>
    <w:rsid w:val="00AA6278"/>
    <w:rsid w:val="00AB1F11"/>
    <w:rsid w:val="00AB6134"/>
    <w:rsid w:val="00AC4FCD"/>
    <w:rsid w:val="00AC5341"/>
    <w:rsid w:val="00AD0CE1"/>
    <w:rsid w:val="00AD12A3"/>
    <w:rsid w:val="00AD4E86"/>
    <w:rsid w:val="00AE120A"/>
    <w:rsid w:val="00AE7D2D"/>
    <w:rsid w:val="00B06316"/>
    <w:rsid w:val="00B11D95"/>
    <w:rsid w:val="00B13049"/>
    <w:rsid w:val="00B371A2"/>
    <w:rsid w:val="00B372BB"/>
    <w:rsid w:val="00B4068A"/>
    <w:rsid w:val="00B40A2B"/>
    <w:rsid w:val="00B5362F"/>
    <w:rsid w:val="00B53713"/>
    <w:rsid w:val="00B626A2"/>
    <w:rsid w:val="00B66A65"/>
    <w:rsid w:val="00B67AC1"/>
    <w:rsid w:val="00B7107A"/>
    <w:rsid w:val="00B7146E"/>
    <w:rsid w:val="00B74D93"/>
    <w:rsid w:val="00B813A9"/>
    <w:rsid w:val="00B81699"/>
    <w:rsid w:val="00B8668F"/>
    <w:rsid w:val="00B913FC"/>
    <w:rsid w:val="00B93542"/>
    <w:rsid w:val="00B96F60"/>
    <w:rsid w:val="00BA05A0"/>
    <w:rsid w:val="00BA32C6"/>
    <w:rsid w:val="00BA4394"/>
    <w:rsid w:val="00BA5307"/>
    <w:rsid w:val="00BA69AC"/>
    <w:rsid w:val="00BB5E68"/>
    <w:rsid w:val="00BC1755"/>
    <w:rsid w:val="00BC1890"/>
    <w:rsid w:val="00BC5AAF"/>
    <w:rsid w:val="00BC69E5"/>
    <w:rsid w:val="00BD4B97"/>
    <w:rsid w:val="00BD62A1"/>
    <w:rsid w:val="00BE0F0F"/>
    <w:rsid w:val="00BE1EFB"/>
    <w:rsid w:val="00BE3D18"/>
    <w:rsid w:val="00BE58F4"/>
    <w:rsid w:val="00BE6AD4"/>
    <w:rsid w:val="00BF0DE2"/>
    <w:rsid w:val="00C01D7B"/>
    <w:rsid w:val="00C075F6"/>
    <w:rsid w:val="00C160EC"/>
    <w:rsid w:val="00C23BF4"/>
    <w:rsid w:val="00C3358C"/>
    <w:rsid w:val="00C3527D"/>
    <w:rsid w:val="00C36FCE"/>
    <w:rsid w:val="00C40008"/>
    <w:rsid w:val="00C4431E"/>
    <w:rsid w:val="00C47B13"/>
    <w:rsid w:val="00C508C0"/>
    <w:rsid w:val="00C52E36"/>
    <w:rsid w:val="00C6130F"/>
    <w:rsid w:val="00C64A57"/>
    <w:rsid w:val="00C64AC6"/>
    <w:rsid w:val="00C70E5A"/>
    <w:rsid w:val="00C72E9C"/>
    <w:rsid w:val="00C73CCE"/>
    <w:rsid w:val="00C73EB2"/>
    <w:rsid w:val="00C762FF"/>
    <w:rsid w:val="00C823E1"/>
    <w:rsid w:val="00C922A4"/>
    <w:rsid w:val="00C94D7C"/>
    <w:rsid w:val="00C95712"/>
    <w:rsid w:val="00CA339E"/>
    <w:rsid w:val="00CA45A2"/>
    <w:rsid w:val="00CB5FA6"/>
    <w:rsid w:val="00CB6534"/>
    <w:rsid w:val="00CC2512"/>
    <w:rsid w:val="00CC5278"/>
    <w:rsid w:val="00CD3506"/>
    <w:rsid w:val="00CE4946"/>
    <w:rsid w:val="00CE558D"/>
    <w:rsid w:val="00CE5E05"/>
    <w:rsid w:val="00CE659D"/>
    <w:rsid w:val="00CE68BF"/>
    <w:rsid w:val="00CF3C7E"/>
    <w:rsid w:val="00D02069"/>
    <w:rsid w:val="00D02553"/>
    <w:rsid w:val="00D02DDA"/>
    <w:rsid w:val="00D04DDD"/>
    <w:rsid w:val="00D0522E"/>
    <w:rsid w:val="00D05A1C"/>
    <w:rsid w:val="00D06D7A"/>
    <w:rsid w:val="00D07F4C"/>
    <w:rsid w:val="00D26275"/>
    <w:rsid w:val="00D277ED"/>
    <w:rsid w:val="00D27916"/>
    <w:rsid w:val="00D27FDB"/>
    <w:rsid w:val="00D323B4"/>
    <w:rsid w:val="00D3316D"/>
    <w:rsid w:val="00D37B4F"/>
    <w:rsid w:val="00D41CEB"/>
    <w:rsid w:val="00D42A2B"/>
    <w:rsid w:val="00D43221"/>
    <w:rsid w:val="00D51BD9"/>
    <w:rsid w:val="00D520A6"/>
    <w:rsid w:val="00D5713D"/>
    <w:rsid w:val="00D60828"/>
    <w:rsid w:val="00D615ED"/>
    <w:rsid w:val="00D76D44"/>
    <w:rsid w:val="00D81602"/>
    <w:rsid w:val="00D83974"/>
    <w:rsid w:val="00D878A3"/>
    <w:rsid w:val="00D87F2B"/>
    <w:rsid w:val="00D92542"/>
    <w:rsid w:val="00D93961"/>
    <w:rsid w:val="00D95EFC"/>
    <w:rsid w:val="00DA7CCE"/>
    <w:rsid w:val="00DB5C74"/>
    <w:rsid w:val="00DE1A5E"/>
    <w:rsid w:val="00DE38D3"/>
    <w:rsid w:val="00E0434F"/>
    <w:rsid w:val="00E1075F"/>
    <w:rsid w:val="00E10EDE"/>
    <w:rsid w:val="00E221B8"/>
    <w:rsid w:val="00E259C2"/>
    <w:rsid w:val="00E310FC"/>
    <w:rsid w:val="00E3252F"/>
    <w:rsid w:val="00E32ECC"/>
    <w:rsid w:val="00E33308"/>
    <w:rsid w:val="00E34716"/>
    <w:rsid w:val="00E3495A"/>
    <w:rsid w:val="00E37A4F"/>
    <w:rsid w:val="00E410E8"/>
    <w:rsid w:val="00E5196E"/>
    <w:rsid w:val="00E53B86"/>
    <w:rsid w:val="00E60D1A"/>
    <w:rsid w:val="00E63758"/>
    <w:rsid w:val="00E673F3"/>
    <w:rsid w:val="00E7345A"/>
    <w:rsid w:val="00E74D20"/>
    <w:rsid w:val="00E91DEE"/>
    <w:rsid w:val="00EA527A"/>
    <w:rsid w:val="00EA59EA"/>
    <w:rsid w:val="00EA5EAC"/>
    <w:rsid w:val="00EA66A4"/>
    <w:rsid w:val="00EA691F"/>
    <w:rsid w:val="00EB23EC"/>
    <w:rsid w:val="00EB571B"/>
    <w:rsid w:val="00EB7426"/>
    <w:rsid w:val="00EC0517"/>
    <w:rsid w:val="00EC6293"/>
    <w:rsid w:val="00ED3581"/>
    <w:rsid w:val="00ED3B57"/>
    <w:rsid w:val="00ED426C"/>
    <w:rsid w:val="00ED6332"/>
    <w:rsid w:val="00EE2A68"/>
    <w:rsid w:val="00EF0EA2"/>
    <w:rsid w:val="00EF5CFB"/>
    <w:rsid w:val="00F0580E"/>
    <w:rsid w:val="00F07B85"/>
    <w:rsid w:val="00F10103"/>
    <w:rsid w:val="00F166DF"/>
    <w:rsid w:val="00F1754B"/>
    <w:rsid w:val="00F223F1"/>
    <w:rsid w:val="00F22BC7"/>
    <w:rsid w:val="00F243AB"/>
    <w:rsid w:val="00F2778F"/>
    <w:rsid w:val="00F445C8"/>
    <w:rsid w:val="00F52329"/>
    <w:rsid w:val="00F60C55"/>
    <w:rsid w:val="00F624DA"/>
    <w:rsid w:val="00F6599B"/>
    <w:rsid w:val="00F66987"/>
    <w:rsid w:val="00F7207A"/>
    <w:rsid w:val="00F72E47"/>
    <w:rsid w:val="00F73A0C"/>
    <w:rsid w:val="00F7518E"/>
    <w:rsid w:val="00F75791"/>
    <w:rsid w:val="00F75E49"/>
    <w:rsid w:val="00F831CC"/>
    <w:rsid w:val="00F84D53"/>
    <w:rsid w:val="00F86D82"/>
    <w:rsid w:val="00FC086C"/>
    <w:rsid w:val="00FC1B09"/>
    <w:rsid w:val="00FC27AE"/>
    <w:rsid w:val="00FC6ABD"/>
    <w:rsid w:val="00FC6E75"/>
    <w:rsid w:val="00FC7D86"/>
    <w:rsid w:val="00FD1822"/>
    <w:rsid w:val="00FD2621"/>
    <w:rsid w:val="00FD281D"/>
    <w:rsid w:val="00FD7539"/>
    <w:rsid w:val="00FE12F8"/>
    <w:rsid w:val="00FE41A2"/>
    <w:rsid w:val="00FF0081"/>
    <w:rsid w:val="00FF0D66"/>
    <w:rsid w:val="00FF4A69"/>
    <w:rsid w:val="456EB3F9"/>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71919E"/>
  <w14:defaultImageDpi w14:val="32767"/>
  <w15:docId w15:val="{1F3F1545-4FD3-4578-84FB-FE5709CA6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E7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asemplice-31">
    <w:name w:val="Tabella semplice - 31"/>
    <w:basedOn w:val="TableNormal"/>
    <w:uiPriority w:val="43"/>
    <w:rsid w:val="008E7400"/>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styleId="NormalWeb">
    <w:name w:val="Normal (Web)"/>
    <w:basedOn w:val="Normal"/>
    <w:uiPriority w:val="99"/>
    <w:semiHidden/>
    <w:unhideWhenUsed/>
    <w:rsid w:val="003A78B3"/>
    <w:pPr>
      <w:spacing w:before="100" w:beforeAutospacing="1" w:after="100" w:afterAutospacing="1"/>
    </w:pPr>
    <w:rPr>
      <w:rFonts w:ascii="Times New Roman" w:eastAsia="Times New Roman" w:hAnsi="Times New Roman"/>
      <w:lang w:eastAsia="it-IT"/>
    </w:rPr>
  </w:style>
  <w:style w:type="table" w:customStyle="1" w:styleId="Tabellasemplice41">
    <w:name w:val="Tabella semplice 41"/>
    <w:basedOn w:val="TableNormal"/>
    <w:uiPriority w:val="44"/>
    <w:rsid w:val="0046211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Tabellasemplice51">
    <w:name w:val="Tabella semplice 51"/>
    <w:basedOn w:val="TableNormal"/>
    <w:uiPriority w:val="45"/>
    <w:rsid w:val="0046211E"/>
    <w:tblPr>
      <w:tblStyleRowBandSize w:val="1"/>
      <w:tblStyleColBandSize w:val="1"/>
    </w:tblPr>
    <w:tblStylePr w:type="firstRow">
      <w:rPr>
        <w:rFonts w:ascii="Calibri Light" w:eastAsia="Yu Gothic Light" w:hAnsi="Calibri Light" w:cs="Times New Roman"/>
        <w:i/>
        <w:iCs/>
        <w:sz w:val="26"/>
      </w:rPr>
      <w:tblPr/>
      <w:tcPr>
        <w:tcBorders>
          <w:bottom w:val="single" w:sz="4" w:space="0" w:color="7F7F7F"/>
        </w:tcBorders>
        <w:shd w:val="clear" w:color="auto" w:fill="FFFFFF"/>
      </w:tcPr>
    </w:tblStylePr>
    <w:tblStylePr w:type="lastRow">
      <w:rPr>
        <w:rFonts w:ascii="Calibri Light" w:eastAsia="Yu Gothic Light"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7F7F7F"/>
        </w:tcBorders>
        <w:shd w:val="clear" w:color="auto" w:fill="FFFFFF"/>
      </w:tcPr>
    </w:tblStylePr>
    <w:tblStylePr w:type="lastCol">
      <w:rPr>
        <w:rFonts w:ascii="Calibri Light" w:eastAsia="Yu Gothic Light"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alloonText">
    <w:name w:val="Balloon Text"/>
    <w:basedOn w:val="Normal"/>
    <w:link w:val="BalloonTextChar"/>
    <w:uiPriority w:val="99"/>
    <w:semiHidden/>
    <w:unhideWhenUsed/>
    <w:rsid w:val="00505D45"/>
    <w:rPr>
      <w:rFonts w:ascii="Lucida Grande" w:hAnsi="Lucida Grande"/>
      <w:sz w:val="18"/>
      <w:szCs w:val="18"/>
    </w:rPr>
  </w:style>
  <w:style w:type="character" w:customStyle="1" w:styleId="BalloonTextChar">
    <w:name w:val="Balloon Text Char"/>
    <w:link w:val="BalloonText"/>
    <w:uiPriority w:val="99"/>
    <w:semiHidden/>
    <w:rsid w:val="00505D45"/>
    <w:rPr>
      <w:rFonts w:ascii="Lucida Grande" w:hAnsi="Lucida Grande"/>
      <w:sz w:val="18"/>
      <w:szCs w:val="18"/>
    </w:rPr>
  </w:style>
  <w:style w:type="character" w:styleId="CommentReference">
    <w:name w:val="annotation reference"/>
    <w:uiPriority w:val="99"/>
    <w:semiHidden/>
    <w:unhideWhenUsed/>
    <w:rsid w:val="00537F0E"/>
    <w:rPr>
      <w:sz w:val="16"/>
      <w:szCs w:val="16"/>
    </w:rPr>
  </w:style>
  <w:style w:type="paragraph" w:styleId="CommentText">
    <w:name w:val="annotation text"/>
    <w:basedOn w:val="Normal"/>
    <w:link w:val="CommentTextChar"/>
    <w:uiPriority w:val="99"/>
    <w:semiHidden/>
    <w:unhideWhenUsed/>
    <w:rsid w:val="00537F0E"/>
    <w:rPr>
      <w:sz w:val="20"/>
      <w:szCs w:val="20"/>
    </w:rPr>
  </w:style>
  <w:style w:type="character" w:customStyle="1" w:styleId="CommentTextChar">
    <w:name w:val="Comment Text Char"/>
    <w:link w:val="CommentText"/>
    <w:uiPriority w:val="99"/>
    <w:semiHidden/>
    <w:rsid w:val="00537F0E"/>
    <w:rPr>
      <w:sz w:val="20"/>
      <w:szCs w:val="20"/>
    </w:rPr>
  </w:style>
  <w:style w:type="paragraph" w:styleId="CommentSubject">
    <w:name w:val="annotation subject"/>
    <w:basedOn w:val="CommentText"/>
    <w:next w:val="CommentText"/>
    <w:link w:val="CommentSubjectChar"/>
    <w:uiPriority w:val="99"/>
    <w:semiHidden/>
    <w:unhideWhenUsed/>
    <w:rsid w:val="00537F0E"/>
    <w:rPr>
      <w:b/>
      <w:bCs/>
    </w:rPr>
  </w:style>
  <w:style w:type="character" w:customStyle="1" w:styleId="CommentSubjectChar">
    <w:name w:val="Comment Subject Char"/>
    <w:link w:val="CommentSubject"/>
    <w:uiPriority w:val="99"/>
    <w:semiHidden/>
    <w:rsid w:val="00537F0E"/>
    <w:rPr>
      <w:b/>
      <w:bCs/>
      <w:sz w:val="20"/>
      <w:szCs w:val="20"/>
    </w:rPr>
  </w:style>
  <w:style w:type="paragraph" w:styleId="ListParagraph">
    <w:name w:val="List Paragraph"/>
    <w:basedOn w:val="Normal"/>
    <w:uiPriority w:val="34"/>
    <w:qFormat/>
    <w:rsid w:val="001D570E"/>
    <w:pPr>
      <w:ind w:left="720"/>
      <w:contextualSpacing/>
    </w:pPr>
  </w:style>
  <w:style w:type="character" w:styleId="Hyperlink">
    <w:name w:val="Hyperlink"/>
    <w:uiPriority w:val="99"/>
    <w:unhideWhenUsed/>
    <w:rsid w:val="00BE58F4"/>
    <w:rPr>
      <w:color w:val="0563C1"/>
      <w:u w:val="single"/>
    </w:rPr>
  </w:style>
  <w:style w:type="character" w:customStyle="1" w:styleId="Menzionenonrisolta1">
    <w:name w:val="Menzione non risolta1"/>
    <w:uiPriority w:val="99"/>
    <w:semiHidden/>
    <w:unhideWhenUsed/>
    <w:rsid w:val="00BE58F4"/>
    <w:rPr>
      <w:color w:val="605E5C"/>
      <w:shd w:val="clear" w:color="auto" w:fill="E1DFDD"/>
    </w:rPr>
  </w:style>
  <w:style w:type="character" w:customStyle="1" w:styleId="Menzionenonrisolta2">
    <w:name w:val="Menzione non risolta2"/>
    <w:uiPriority w:val="99"/>
    <w:semiHidden/>
    <w:unhideWhenUsed/>
    <w:rsid w:val="00F73A0C"/>
    <w:rPr>
      <w:color w:val="605E5C"/>
      <w:shd w:val="clear" w:color="auto" w:fill="E1DFDD"/>
    </w:rPr>
  </w:style>
  <w:style w:type="paragraph" w:styleId="Footer">
    <w:name w:val="footer"/>
    <w:basedOn w:val="Normal"/>
    <w:link w:val="FooterChar"/>
    <w:uiPriority w:val="99"/>
    <w:unhideWhenUsed/>
    <w:rsid w:val="00750BE7"/>
    <w:pPr>
      <w:tabs>
        <w:tab w:val="center" w:pos="4819"/>
        <w:tab w:val="right" w:pos="9638"/>
      </w:tabs>
    </w:pPr>
  </w:style>
  <w:style w:type="character" w:customStyle="1" w:styleId="FooterChar">
    <w:name w:val="Footer Char"/>
    <w:basedOn w:val="DefaultParagraphFont"/>
    <w:link w:val="Footer"/>
    <w:uiPriority w:val="99"/>
    <w:rsid w:val="00750BE7"/>
  </w:style>
  <w:style w:type="character" w:styleId="PageNumber">
    <w:name w:val="page number"/>
    <w:basedOn w:val="DefaultParagraphFont"/>
    <w:uiPriority w:val="99"/>
    <w:semiHidden/>
    <w:unhideWhenUsed/>
    <w:rsid w:val="00750BE7"/>
  </w:style>
  <w:style w:type="paragraph" w:styleId="HTMLPreformatted">
    <w:name w:val="HTML Preformatted"/>
    <w:basedOn w:val="Normal"/>
    <w:link w:val="HTMLPreformattedChar"/>
    <w:uiPriority w:val="99"/>
    <w:semiHidden/>
    <w:unhideWhenUsed/>
    <w:rsid w:val="00863F53"/>
    <w:rPr>
      <w:rFonts w:ascii="Consolas" w:hAnsi="Consolas"/>
      <w:sz w:val="20"/>
      <w:szCs w:val="20"/>
    </w:rPr>
  </w:style>
  <w:style w:type="character" w:customStyle="1" w:styleId="HTMLPreformattedChar">
    <w:name w:val="HTML Preformatted Char"/>
    <w:link w:val="HTMLPreformatted"/>
    <w:uiPriority w:val="99"/>
    <w:semiHidden/>
    <w:rsid w:val="00863F53"/>
    <w:rPr>
      <w:rFonts w:ascii="Consolas" w:hAnsi="Consolas"/>
      <w:sz w:val="20"/>
      <w:szCs w:val="20"/>
    </w:rPr>
  </w:style>
  <w:style w:type="paragraph" w:styleId="Revision">
    <w:name w:val="Revision"/>
    <w:hidden/>
    <w:uiPriority w:val="99"/>
    <w:semiHidden/>
    <w:rsid w:val="00D83974"/>
    <w:rPr>
      <w:sz w:val="24"/>
      <w:szCs w:val="24"/>
      <w:lang w:eastAsia="en-US"/>
    </w:rPr>
  </w:style>
  <w:style w:type="table" w:customStyle="1" w:styleId="Tabellasemplice-21">
    <w:name w:val="Tabella semplice - 21"/>
    <w:basedOn w:val="TableNormal"/>
    <w:uiPriority w:val="99"/>
    <w:rsid w:val="00E3252F"/>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character" w:styleId="LineNumber">
    <w:name w:val="line number"/>
    <w:basedOn w:val="DefaultParagraphFont"/>
    <w:uiPriority w:val="99"/>
    <w:semiHidden/>
    <w:unhideWhenUsed/>
    <w:rsid w:val="008F2524"/>
  </w:style>
  <w:style w:type="character" w:customStyle="1" w:styleId="apple-converted-space">
    <w:name w:val="apple-converted-space"/>
    <w:basedOn w:val="DefaultParagraphFont"/>
    <w:rsid w:val="007927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713374">
      <w:bodyDiv w:val="1"/>
      <w:marLeft w:val="0"/>
      <w:marRight w:val="0"/>
      <w:marTop w:val="0"/>
      <w:marBottom w:val="0"/>
      <w:divBdr>
        <w:top w:val="none" w:sz="0" w:space="0" w:color="auto"/>
        <w:left w:val="none" w:sz="0" w:space="0" w:color="auto"/>
        <w:bottom w:val="none" w:sz="0" w:space="0" w:color="auto"/>
        <w:right w:val="none" w:sz="0" w:space="0" w:color="auto"/>
      </w:divBdr>
    </w:div>
    <w:div w:id="213125975">
      <w:bodyDiv w:val="1"/>
      <w:marLeft w:val="0"/>
      <w:marRight w:val="0"/>
      <w:marTop w:val="0"/>
      <w:marBottom w:val="0"/>
      <w:divBdr>
        <w:top w:val="none" w:sz="0" w:space="0" w:color="auto"/>
        <w:left w:val="none" w:sz="0" w:space="0" w:color="auto"/>
        <w:bottom w:val="none" w:sz="0" w:space="0" w:color="auto"/>
        <w:right w:val="none" w:sz="0" w:space="0" w:color="auto"/>
      </w:divBdr>
    </w:div>
    <w:div w:id="260842831">
      <w:bodyDiv w:val="1"/>
      <w:marLeft w:val="0"/>
      <w:marRight w:val="0"/>
      <w:marTop w:val="0"/>
      <w:marBottom w:val="0"/>
      <w:divBdr>
        <w:top w:val="none" w:sz="0" w:space="0" w:color="auto"/>
        <w:left w:val="none" w:sz="0" w:space="0" w:color="auto"/>
        <w:bottom w:val="none" w:sz="0" w:space="0" w:color="auto"/>
        <w:right w:val="none" w:sz="0" w:space="0" w:color="auto"/>
      </w:divBdr>
    </w:div>
    <w:div w:id="348412714">
      <w:bodyDiv w:val="1"/>
      <w:marLeft w:val="0"/>
      <w:marRight w:val="0"/>
      <w:marTop w:val="0"/>
      <w:marBottom w:val="0"/>
      <w:divBdr>
        <w:top w:val="none" w:sz="0" w:space="0" w:color="auto"/>
        <w:left w:val="none" w:sz="0" w:space="0" w:color="auto"/>
        <w:bottom w:val="none" w:sz="0" w:space="0" w:color="auto"/>
        <w:right w:val="none" w:sz="0" w:space="0" w:color="auto"/>
      </w:divBdr>
      <w:divsChild>
        <w:div w:id="1649631713">
          <w:marLeft w:val="0"/>
          <w:marRight w:val="0"/>
          <w:marTop w:val="0"/>
          <w:marBottom w:val="0"/>
          <w:divBdr>
            <w:top w:val="none" w:sz="0" w:space="0" w:color="auto"/>
            <w:left w:val="none" w:sz="0" w:space="0" w:color="auto"/>
            <w:bottom w:val="none" w:sz="0" w:space="0" w:color="auto"/>
            <w:right w:val="none" w:sz="0" w:space="0" w:color="auto"/>
          </w:divBdr>
          <w:divsChild>
            <w:div w:id="1010570768">
              <w:marLeft w:val="0"/>
              <w:marRight w:val="0"/>
              <w:marTop w:val="0"/>
              <w:marBottom w:val="0"/>
              <w:divBdr>
                <w:top w:val="none" w:sz="0" w:space="0" w:color="auto"/>
                <w:left w:val="none" w:sz="0" w:space="0" w:color="auto"/>
                <w:bottom w:val="none" w:sz="0" w:space="0" w:color="auto"/>
                <w:right w:val="none" w:sz="0" w:space="0" w:color="auto"/>
              </w:divBdr>
              <w:divsChild>
                <w:div w:id="503974918">
                  <w:marLeft w:val="0"/>
                  <w:marRight w:val="0"/>
                  <w:marTop w:val="0"/>
                  <w:marBottom w:val="0"/>
                  <w:divBdr>
                    <w:top w:val="none" w:sz="0" w:space="0" w:color="auto"/>
                    <w:left w:val="none" w:sz="0" w:space="0" w:color="auto"/>
                    <w:bottom w:val="none" w:sz="0" w:space="0" w:color="auto"/>
                    <w:right w:val="none" w:sz="0" w:space="0" w:color="auto"/>
                  </w:divBdr>
                  <w:divsChild>
                    <w:div w:id="15630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529757">
      <w:bodyDiv w:val="1"/>
      <w:marLeft w:val="0"/>
      <w:marRight w:val="0"/>
      <w:marTop w:val="0"/>
      <w:marBottom w:val="0"/>
      <w:divBdr>
        <w:top w:val="none" w:sz="0" w:space="0" w:color="auto"/>
        <w:left w:val="none" w:sz="0" w:space="0" w:color="auto"/>
        <w:bottom w:val="none" w:sz="0" w:space="0" w:color="auto"/>
        <w:right w:val="none" w:sz="0" w:space="0" w:color="auto"/>
      </w:divBdr>
    </w:div>
    <w:div w:id="836651894">
      <w:bodyDiv w:val="1"/>
      <w:marLeft w:val="0"/>
      <w:marRight w:val="0"/>
      <w:marTop w:val="0"/>
      <w:marBottom w:val="0"/>
      <w:divBdr>
        <w:top w:val="none" w:sz="0" w:space="0" w:color="auto"/>
        <w:left w:val="none" w:sz="0" w:space="0" w:color="auto"/>
        <w:bottom w:val="none" w:sz="0" w:space="0" w:color="auto"/>
        <w:right w:val="none" w:sz="0" w:space="0" w:color="auto"/>
      </w:divBdr>
    </w:div>
    <w:div w:id="844902328">
      <w:bodyDiv w:val="1"/>
      <w:marLeft w:val="0"/>
      <w:marRight w:val="0"/>
      <w:marTop w:val="0"/>
      <w:marBottom w:val="0"/>
      <w:divBdr>
        <w:top w:val="none" w:sz="0" w:space="0" w:color="auto"/>
        <w:left w:val="none" w:sz="0" w:space="0" w:color="auto"/>
        <w:bottom w:val="none" w:sz="0" w:space="0" w:color="auto"/>
        <w:right w:val="none" w:sz="0" w:space="0" w:color="auto"/>
      </w:divBdr>
      <w:divsChild>
        <w:div w:id="1669408305">
          <w:marLeft w:val="0"/>
          <w:marRight w:val="0"/>
          <w:marTop w:val="0"/>
          <w:marBottom w:val="0"/>
          <w:divBdr>
            <w:top w:val="none" w:sz="0" w:space="0" w:color="auto"/>
            <w:left w:val="none" w:sz="0" w:space="0" w:color="auto"/>
            <w:bottom w:val="none" w:sz="0" w:space="0" w:color="auto"/>
            <w:right w:val="none" w:sz="0" w:space="0" w:color="auto"/>
          </w:divBdr>
          <w:divsChild>
            <w:div w:id="164788448">
              <w:marLeft w:val="0"/>
              <w:marRight w:val="0"/>
              <w:marTop w:val="0"/>
              <w:marBottom w:val="0"/>
              <w:divBdr>
                <w:top w:val="none" w:sz="0" w:space="0" w:color="auto"/>
                <w:left w:val="none" w:sz="0" w:space="0" w:color="auto"/>
                <w:bottom w:val="none" w:sz="0" w:space="0" w:color="auto"/>
                <w:right w:val="none" w:sz="0" w:space="0" w:color="auto"/>
              </w:divBdr>
              <w:divsChild>
                <w:div w:id="1295988653">
                  <w:marLeft w:val="0"/>
                  <w:marRight w:val="0"/>
                  <w:marTop w:val="0"/>
                  <w:marBottom w:val="0"/>
                  <w:divBdr>
                    <w:top w:val="none" w:sz="0" w:space="0" w:color="auto"/>
                    <w:left w:val="none" w:sz="0" w:space="0" w:color="auto"/>
                    <w:bottom w:val="none" w:sz="0" w:space="0" w:color="auto"/>
                    <w:right w:val="none" w:sz="0" w:space="0" w:color="auto"/>
                  </w:divBdr>
                </w:div>
                <w:div w:id="136571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848311">
      <w:bodyDiv w:val="1"/>
      <w:marLeft w:val="0"/>
      <w:marRight w:val="0"/>
      <w:marTop w:val="0"/>
      <w:marBottom w:val="0"/>
      <w:divBdr>
        <w:top w:val="none" w:sz="0" w:space="0" w:color="auto"/>
        <w:left w:val="none" w:sz="0" w:space="0" w:color="auto"/>
        <w:bottom w:val="none" w:sz="0" w:space="0" w:color="auto"/>
        <w:right w:val="none" w:sz="0" w:space="0" w:color="auto"/>
      </w:divBdr>
    </w:div>
    <w:div w:id="1027023479">
      <w:bodyDiv w:val="1"/>
      <w:marLeft w:val="0"/>
      <w:marRight w:val="0"/>
      <w:marTop w:val="0"/>
      <w:marBottom w:val="0"/>
      <w:divBdr>
        <w:top w:val="none" w:sz="0" w:space="0" w:color="auto"/>
        <w:left w:val="none" w:sz="0" w:space="0" w:color="auto"/>
        <w:bottom w:val="none" w:sz="0" w:space="0" w:color="auto"/>
        <w:right w:val="none" w:sz="0" w:space="0" w:color="auto"/>
      </w:divBdr>
    </w:div>
    <w:div w:id="1162045997">
      <w:bodyDiv w:val="1"/>
      <w:marLeft w:val="0"/>
      <w:marRight w:val="0"/>
      <w:marTop w:val="0"/>
      <w:marBottom w:val="0"/>
      <w:divBdr>
        <w:top w:val="none" w:sz="0" w:space="0" w:color="auto"/>
        <w:left w:val="none" w:sz="0" w:space="0" w:color="auto"/>
        <w:bottom w:val="none" w:sz="0" w:space="0" w:color="auto"/>
        <w:right w:val="none" w:sz="0" w:space="0" w:color="auto"/>
      </w:divBdr>
    </w:div>
    <w:div w:id="1215895707">
      <w:bodyDiv w:val="1"/>
      <w:marLeft w:val="0"/>
      <w:marRight w:val="0"/>
      <w:marTop w:val="0"/>
      <w:marBottom w:val="0"/>
      <w:divBdr>
        <w:top w:val="none" w:sz="0" w:space="0" w:color="auto"/>
        <w:left w:val="none" w:sz="0" w:space="0" w:color="auto"/>
        <w:bottom w:val="none" w:sz="0" w:space="0" w:color="auto"/>
        <w:right w:val="none" w:sz="0" w:space="0" w:color="auto"/>
      </w:divBdr>
    </w:div>
    <w:div w:id="1253005228">
      <w:bodyDiv w:val="1"/>
      <w:marLeft w:val="0"/>
      <w:marRight w:val="0"/>
      <w:marTop w:val="0"/>
      <w:marBottom w:val="0"/>
      <w:divBdr>
        <w:top w:val="none" w:sz="0" w:space="0" w:color="auto"/>
        <w:left w:val="none" w:sz="0" w:space="0" w:color="auto"/>
        <w:bottom w:val="none" w:sz="0" w:space="0" w:color="auto"/>
        <w:right w:val="none" w:sz="0" w:space="0" w:color="auto"/>
      </w:divBdr>
    </w:div>
    <w:div w:id="1403023784">
      <w:bodyDiv w:val="1"/>
      <w:marLeft w:val="0"/>
      <w:marRight w:val="0"/>
      <w:marTop w:val="0"/>
      <w:marBottom w:val="0"/>
      <w:divBdr>
        <w:top w:val="none" w:sz="0" w:space="0" w:color="auto"/>
        <w:left w:val="none" w:sz="0" w:space="0" w:color="auto"/>
        <w:bottom w:val="none" w:sz="0" w:space="0" w:color="auto"/>
        <w:right w:val="none" w:sz="0" w:space="0" w:color="auto"/>
      </w:divBdr>
      <w:divsChild>
        <w:div w:id="98647370">
          <w:marLeft w:val="0"/>
          <w:marRight w:val="0"/>
          <w:marTop w:val="0"/>
          <w:marBottom w:val="0"/>
          <w:divBdr>
            <w:top w:val="none" w:sz="0" w:space="0" w:color="auto"/>
            <w:left w:val="none" w:sz="0" w:space="0" w:color="auto"/>
            <w:bottom w:val="none" w:sz="0" w:space="0" w:color="auto"/>
            <w:right w:val="none" w:sz="0" w:space="0" w:color="auto"/>
          </w:divBdr>
          <w:divsChild>
            <w:div w:id="1163084344">
              <w:marLeft w:val="0"/>
              <w:marRight w:val="0"/>
              <w:marTop w:val="0"/>
              <w:marBottom w:val="0"/>
              <w:divBdr>
                <w:top w:val="none" w:sz="0" w:space="0" w:color="auto"/>
                <w:left w:val="none" w:sz="0" w:space="0" w:color="auto"/>
                <w:bottom w:val="none" w:sz="0" w:space="0" w:color="auto"/>
                <w:right w:val="none" w:sz="0" w:space="0" w:color="auto"/>
              </w:divBdr>
              <w:divsChild>
                <w:div w:id="601452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880336">
      <w:bodyDiv w:val="1"/>
      <w:marLeft w:val="0"/>
      <w:marRight w:val="0"/>
      <w:marTop w:val="0"/>
      <w:marBottom w:val="0"/>
      <w:divBdr>
        <w:top w:val="none" w:sz="0" w:space="0" w:color="auto"/>
        <w:left w:val="none" w:sz="0" w:space="0" w:color="auto"/>
        <w:bottom w:val="none" w:sz="0" w:space="0" w:color="auto"/>
        <w:right w:val="none" w:sz="0" w:space="0" w:color="auto"/>
      </w:divBdr>
    </w:div>
    <w:div w:id="1556773327">
      <w:bodyDiv w:val="1"/>
      <w:marLeft w:val="0"/>
      <w:marRight w:val="0"/>
      <w:marTop w:val="0"/>
      <w:marBottom w:val="0"/>
      <w:divBdr>
        <w:top w:val="none" w:sz="0" w:space="0" w:color="auto"/>
        <w:left w:val="none" w:sz="0" w:space="0" w:color="auto"/>
        <w:bottom w:val="none" w:sz="0" w:space="0" w:color="auto"/>
        <w:right w:val="none" w:sz="0" w:space="0" w:color="auto"/>
      </w:divBdr>
      <w:divsChild>
        <w:div w:id="1783500393">
          <w:marLeft w:val="0"/>
          <w:marRight w:val="0"/>
          <w:marTop w:val="0"/>
          <w:marBottom w:val="0"/>
          <w:divBdr>
            <w:top w:val="none" w:sz="0" w:space="0" w:color="auto"/>
            <w:left w:val="none" w:sz="0" w:space="0" w:color="auto"/>
            <w:bottom w:val="none" w:sz="0" w:space="0" w:color="auto"/>
            <w:right w:val="none" w:sz="0" w:space="0" w:color="auto"/>
          </w:divBdr>
          <w:divsChild>
            <w:div w:id="1063482235">
              <w:marLeft w:val="0"/>
              <w:marRight w:val="0"/>
              <w:marTop w:val="0"/>
              <w:marBottom w:val="0"/>
              <w:divBdr>
                <w:top w:val="none" w:sz="0" w:space="0" w:color="auto"/>
                <w:left w:val="none" w:sz="0" w:space="0" w:color="auto"/>
                <w:bottom w:val="none" w:sz="0" w:space="0" w:color="auto"/>
                <w:right w:val="none" w:sz="0" w:space="0" w:color="auto"/>
              </w:divBdr>
              <w:divsChild>
                <w:div w:id="354885489">
                  <w:marLeft w:val="0"/>
                  <w:marRight w:val="0"/>
                  <w:marTop w:val="0"/>
                  <w:marBottom w:val="0"/>
                  <w:divBdr>
                    <w:top w:val="none" w:sz="0" w:space="0" w:color="auto"/>
                    <w:left w:val="none" w:sz="0" w:space="0" w:color="auto"/>
                    <w:bottom w:val="none" w:sz="0" w:space="0" w:color="auto"/>
                    <w:right w:val="none" w:sz="0" w:space="0" w:color="auto"/>
                  </w:divBdr>
                  <w:divsChild>
                    <w:div w:id="53626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4579994">
      <w:bodyDiv w:val="1"/>
      <w:marLeft w:val="0"/>
      <w:marRight w:val="0"/>
      <w:marTop w:val="0"/>
      <w:marBottom w:val="0"/>
      <w:divBdr>
        <w:top w:val="none" w:sz="0" w:space="0" w:color="auto"/>
        <w:left w:val="none" w:sz="0" w:space="0" w:color="auto"/>
        <w:bottom w:val="none" w:sz="0" w:space="0" w:color="auto"/>
        <w:right w:val="none" w:sz="0" w:space="0" w:color="auto"/>
      </w:divBdr>
    </w:div>
    <w:div w:id="1719550461">
      <w:bodyDiv w:val="1"/>
      <w:marLeft w:val="0"/>
      <w:marRight w:val="0"/>
      <w:marTop w:val="0"/>
      <w:marBottom w:val="0"/>
      <w:divBdr>
        <w:top w:val="none" w:sz="0" w:space="0" w:color="auto"/>
        <w:left w:val="none" w:sz="0" w:space="0" w:color="auto"/>
        <w:bottom w:val="none" w:sz="0" w:space="0" w:color="auto"/>
        <w:right w:val="none" w:sz="0" w:space="0" w:color="auto"/>
      </w:divBdr>
    </w:div>
    <w:div w:id="1768648064">
      <w:bodyDiv w:val="1"/>
      <w:marLeft w:val="0"/>
      <w:marRight w:val="0"/>
      <w:marTop w:val="0"/>
      <w:marBottom w:val="0"/>
      <w:divBdr>
        <w:top w:val="none" w:sz="0" w:space="0" w:color="auto"/>
        <w:left w:val="none" w:sz="0" w:space="0" w:color="auto"/>
        <w:bottom w:val="none" w:sz="0" w:space="0" w:color="auto"/>
        <w:right w:val="none" w:sz="0" w:space="0" w:color="auto"/>
      </w:divBdr>
    </w:div>
    <w:div w:id="1833138693">
      <w:bodyDiv w:val="1"/>
      <w:marLeft w:val="0"/>
      <w:marRight w:val="0"/>
      <w:marTop w:val="0"/>
      <w:marBottom w:val="0"/>
      <w:divBdr>
        <w:top w:val="none" w:sz="0" w:space="0" w:color="auto"/>
        <w:left w:val="none" w:sz="0" w:space="0" w:color="auto"/>
        <w:bottom w:val="none" w:sz="0" w:space="0" w:color="auto"/>
        <w:right w:val="none" w:sz="0" w:space="0" w:color="auto"/>
      </w:divBdr>
    </w:div>
    <w:div w:id="1945190889">
      <w:bodyDiv w:val="1"/>
      <w:marLeft w:val="0"/>
      <w:marRight w:val="0"/>
      <w:marTop w:val="0"/>
      <w:marBottom w:val="0"/>
      <w:divBdr>
        <w:top w:val="none" w:sz="0" w:space="0" w:color="auto"/>
        <w:left w:val="none" w:sz="0" w:space="0" w:color="auto"/>
        <w:bottom w:val="none" w:sz="0" w:space="0" w:color="auto"/>
        <w:right w:val="none" w:sz="0" w:space="0" w:color="auto"/>
      </w:divBdr>
      <w:divsChild>
        <w:div w:id="462773387">
          <w:marLeft w:val="0"/>
          <w:marRight w:val="0"/>
          <w:marTop w:val="0"/>
          <w:marBottom w:val="0"/>
          <w:divBdr>
            <w:top w:val="none" w:sz="0" w:space="0" w:color="auto"/>
            <w:left w:val="none" w:sz="0" w:space="0" w:color="auto"/>
            <w:bottom w:val="none" w:sz="0" w:space="0" w:color="auto"/>
            <w:right w:val="none" w:sz="0" w:space="0" w:color="auto"/>
          </w:divBdr>
          <w:divsChild>
            <w:div w:id="1410536573">
              <w:marLeft w:val="0"/>
              <w:marRight w:val="0"/>
              <w:marTop w:val="0"/>
              <w:marBottom w:val="0"/>
              <w:divBdr>
                <w:top w:val="none" w:sz="0" w:space="0" w:color="auto"/>
                <w:left w:val="none" w:sz="0" w:space="0" w:color="auto"/>
                <w:bottom w:val="none" w:sz="0" w:space="0" w:color="auto"/>
                <w:right w:val="none" w:sz="0" w:space="0" w:color="auto"/>
              </w:divBdr>
              <w:divsChild>
                <w:div w:id="1858229810">
                  <w:marLeft w:val="0"/>
                  <w:marRight w:val="0"/>
                  <w:marTop w:val="0"/>
                  <w:marBottom w:val="0"/>
                  <w:divBdr>
                    <w:top w:val="none" w:sz="0" w:space="0" w:color="auto"/>
                    <w:left w:val="none" w:sz="0" w:space="0" w:color="auto"/>
                    <w:bottom w:val="none" w:sz="0" w:space="0" w:color="auto"/>
                    <w:right w:val="none" w:sz="0" w:space="0" w:color="auto"/>
                  </w:divBdr>
                  <w:divsChild>
                    <w:div w:id="203268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1301295">
      <w:bodyDiv w:val="1"/>
      <w:marLeft w:val="0"/>
      <w:marRight w:val="0"/>
      <w:marTop w:val="0"/>
      <w:marBottom w:val="0"/>
      <w:divBdr>
        <w:top w:val="none" w:sz="0" w:space="0" w:color="auto"/>
        <w:left w:val="none" w:sz="0" w:space="0" w:color="auto"/>
        <w:bottom w:val="none" w:sz="0" w:space="0" w:color="auto"/>
        <w:right w:val="none" w:sz="0" w:space="0" w:color="auto"/>
      </w:divBdr>
    </w:div>
    <w:div w:id="2122064923">
      <w:bodyDiv w:val="1"/>
      <w:marLeft w:val="0"/>
      <w:marRight w:val="0"/>
      <w:marTop w:val="0"/>
      <w:marBottom w:val="0"/>
      <w:divBdr>
        <w:top w:val="none" w:sz="0" w:space="0" w:color="auto"/>
        <w:left w:val="none" w:sz="0" w:space="0" w:color="auto"/>
        <w:bottom w:val="none" w:sz="0" w:space="0" w:color="auto"/>
        <w:right w:val="none" w:sz="0" w:space="0" w:color="auto"/>
      </w:divBdr>
    </w:div>
    <w:div w:id="2139490923">
      <w:bodyDiv w:val="1"/>
      <w:marLeft w:val="0"/>
      <w:marRight w:val="0"/>
      <w:marTop w:val="0"/>
      <w:marBottom w:val="0"/>
      <w:divBdr>
        <w:top w:val="none" w:sz="0" w:space="0" w:color="auto"/>
        <w:left w:val="none" w:sz="0" w:space="0" w:color="auto"/>
        <w:bottom w:val="none" w:sz="0" w:space="0" w:color="auto"/>
        <w:right w:val="none" w:sz="0" w:space="0" w:color="auto"/>
      </w:divBdr>
    </w:div>
    <w:div w:id="2147114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3434A-982E-4409-825E-CB664600B9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775</TotalTime>
  <Pages>28</Pages>
  <Words>5494</Words>
  <Characters>29233</Characters>
  <Application>Microsoft Office Word</Application>
  <DocSecurity>0</DocSecurity>
  <Lines>395</Lines>
  <Paragraphs>93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34634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 di Microsoft Office</dc:creator>
  <cp:keywords/>
  <dc:description/>
  <cp:lastModifiedBy>Corrad0 Lanera</cp:lastModifiedBy>
  <cp:revision>9</cp:revision>
  <cp:lastPrinted>2019-04-07T20:26:00Z</cp:lastPrinted>
  <dcterms:created xsi:type="dcterms:W3CDTF">2019-04-07T19:43:00Z</dcterms:created>
  <dcterms:modified xsi:type="dcterms:W3CDTF">2019-05-29T00:06:00Z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http://www.zotero.org/styles/circulation</vt:lpwstr>
  </property>
  <property fmtid="{D5CDD505-2E9C-101B-9397-08002B2CF9AE}" pid="9" name="Mendeley Recent Style Name 3_1">
    <vt:lpwstr>Circulation</vt:lpwstr>
  </property>
  <property fmtid="{D5CDD505-2E9C-101B-9397-08002B2CF9AE}" pid="10" name="Mendeley Recent Style Id 4_1">
    <vt:lpwstr>http://www.zotero.org/styles/europace</vt:lpwstr>
  </property>
  <property fmtid="{D5CDD505-2E9C-101B-9397-08002B2CF9AE}" pid="11" name="Mendeley Recent Style Name 4_1">
    <vt:lpwstr>Europace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http://www.zotero.org/styles/international-journal-of-cardiology</vt:lpwstr>
  </property>
  <property fmtid="{D5CDD505-2E9C-101B-9397-08002B2CF9AE}" pid="17" name="Mendeley Recent Style Name 7_1">
    <vt:lpwstr>International Journal of Cardiology</vt:lpwstr>
  </property>
  <property fmtid="{D5CDD505-2E9C-101B-9397-08002B2CF9AE}" pid="18" name="Mendeley Recent Style Id 8_1">
    <vt:lpwstr>http://www.zotero.org/styles/journal-of-the-american-college-of-cardiology</vt:lpwstr>
  </property>
  <property fmtid="{D5CDD505-2E9C-101B-9397-08002B2CF9AE}" pid="19" name="Mendeley Recent Style Name 8_1">
    <vt:lpwstr>Journal of the American College of Cardiology</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ies>
</file>