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6F865D" w14:textId="3E7C15CD" w:rsidR="000117D2" w:rsidRPr="000117D2" w:rsidRDefault="000117D2" w:rsidP="000117D2">
      <w:pPr>
        <w:spacing w:line="480" w:lineRule="auto"/>
        <w:jc w:val="center"/>
        <w:rPr>
          <w:rFonts w:ascii="Times New Roman" w:hAnsi="Times New Roman" w:cs="Times New Roman"/>
          <w:b/>
          <w:bCs/>
          <w:u w:val="single"/>
        </w:rPr>
      </w:pPr>
      <w:r w:rsidRPr="000117D2">
        <w:rPr>
          <w:rFonts w:ascii="Times New Roman" w:hAnsi="Times New Roman" w:cs="Times New Roman"/>
          <w:b/>
          <w:bCs/>
          <w:u w:val="single"/>
        </w:rPr>
        <w:t>CS 320 Project Two</w:t>
      </w:r>
    </w:p>
    <w:p w14:paraId="369D1C96" w14:textId="21CAE2E7" w:rsidR="008C2B7C" w:rsidRPr="000117D2" w:rsidRDefault="008C2B7C" w:rsidP="008C2B7C">
      <w:pPr>
        <w:spacing w:line="480" w:lineRule="auto"/>
        <w:rPr>
          <w:rFonts w:ascii="Times New Roman" w:hAnsi="Times New Roman" w:cs="Times New Roman"/>
          <w:b/>
          <w:bCs/>
        </w:rPr>
      </w:pPr>
      <w:r w:rsidRPr="000117D2">
        <w:rPr>
          <w:rFonts w:ascii="Times New Roman" w:hAnsi="Times New Roman" w:cs="Times New Roman"/>
          <w:b/>
          <w:bCs/>
        </w:rPr>
        <w:t>Summary</w:t>
      </w:r>
    </w:p>
    <w:p w14:paraId="79C6FF07" w14:textId="45849628" w:rsidR="008C2B7C" w:rsidRPr="008C2B7C" w:rsidRDefault="008C2B7C" w:rsidP="000117D2">
      <w:pPr>
        <w:spacing w:line="480" w:lineRule="auto"/>
        <w:ind w:firstLine="720"/>
        <w:rPr>
          <w:rFonts w:ascii="Times New Roman" w:hAnsi="Times New Roman" w:cs="Times New Roman"/>
        </w:rPr>
      </w:pPr>
      <w:r w:rsidRPr="008C2B7C">
        <w:rPr>
          <w:rFonts w:ascii="Times New Roman" w:hAnsi="Times New Roman" w:cs="Times New Roman"/>
        </w:rPr>
        <w:t>Over the course of Project One I built three small, in‑memory services</w:t>
      </w:r>
      <w:r w:rsidR="000117D2">
        <w:rPr>
          <w:rFonts w:ascii="Times New Roman" w:hAnsi="Times New Roman" w:cs="Times New Roman"/>
        </w:rPr>
        <w:t xml:space="preserve">: </w:t>
      </w:r>
      <w:r w:rsidRPr="008C2B7C">
        <w:rPr>
          <w:rFonts w:ascii="Times New Roman" w:hAnsi="Times New Roman" w:cs="Times New Roman"/>
        </w:rPr>
        <w:t>Contact, Task, and Appointment</w:t>
      </w:r>
      <w:r w:rsidR="000117D2">
        <w:rPr>
          <w:rFonts w:ascii="Times New Roman" w:hAnsi="Times New Roman" w:cs="Times New Roman"/>
        </w:rPr>
        <w:t xml:space="preserve">, </w:t>
      </w:r>
      <w:r w:rsidRPr="008C2B7C">
        <w:rPr>
          <w:rFonts w:ascii="Times New Roman" w:hAnsi="Times New Roman" w:cs="Times New Roman"/>
        </w:rPr>
        <w:t>and treated unit testing as a contractual proof that every item in the requirements list was honored. Each constraint (a ten‑character limit on IDs, immutability of IDs once assigned, or a prohibition on null values) became a JUnit test in two flavors: one that proves the rule holds when the input is valid and one that confirms the system fails safely when the input is not.</w:t>
      </w:r>
    </w:p>
    <w:p w14:paraId="4E1CBDAB" w14:textId="0F2C644E" w:rsidR="008C2B7C" w:rsidRPr="008C2B7C" w:rsidRDefault="008C2B7C" w:rsidP="000117D2">
      <w:pPr>
        <w:spacing w:line="480" w:lineRule="auto"/>
        <w:ind w:firstLine="720"/>
        <w:rPr>
          <w:rFonts w:ascii="Times New Roman" w:hAnsi="Times New Roman" w:cs="Times New Roman"/>
        </w:rPr>
      </w:pPr>
      <w:r w:rsidRPr="008C2B7C">
        <w:rPr>
          <w:rFonts w:ascii="Times New Roman" w:hAnsi="Times New Roman" w:cs="Times New Roman"/>
        </w:rPr>
        <w:t xml:space="preserve">In </w:t>
      </w:r>
      <w:proofErr w:type="spellStart"/>
      <w:r w:rsidRPr="008C2B7C">
        <w:rPr>
          <w:rFonts w:ascii="Times New Roman" w:hAnsi="Times New Roman" w:cs="Times New Roman"/>
        </w:rPr>
        <w:t>ContactService</w:t>
      </w:r>
      <w:proofErr w:type="spellEnd"/>
      <w:r w:rsidRPr="008C2B7C">
        <w:rPr>
          <w:rFonts w:ascii="Times New Roman" w:hAnsi="Times New Roman" w:cs="Times New Roman"/>
        </w:rPr>
        <w:t xml:space="preserve"> my first test created a contact with an ID of “AB123,” stored it, and retrieved it to verify persistence. Immediately after, another test tried an eleven‑character value, asserting that the constructor threw an </w:t>
      </w:r>
      <w:proofErr w:type="spellStart"/>
      <w:r w:rsidRPr="008C2B7C">
        <w:rPr>
          <w:rFonts w:ascii="Times New Roman" w:hAnsi="Times New Roman" w:cs="Times New Roman"/>
        </w:rPr>
        <w:t>IllegalArgumentException</w:t>
      </w:r>
      <w:proofErr w:type="spellEnd"/>
      <w:r w:rsidRPr="008C2B7C">
        <w:rPr>
          <w:rFonts w:ascii="Times New Roman" w:hAnsi="Times New Roman" w:cs="Times New Roman"/>
        </w:rPr>
        <w:t xml:space="preserve">. The pair of tests embodies the broader pattern: success paths ensure business logic behaves; failure paths confirm that the same logic cannot be bypassed. </w:t>
      </w:r>
      <w:proofErr w:type="spellStart"/>
      <w:r w:rsidRPr="008C2B7C">
        <w:rPr>
          <w:rFonts w:ascii="Times New Roman" w:hAnsi="Times New Roman" w:cs="Times New Roman"/>
        </w:rPr>
        <w:t>TaskService</w:t>
      </w:r>
      <w:proofErr w:type="spellEnd"/>
      <w:r w:rsidRPr="008C2B7C">
        <w:rPr>
          <w:rFonts w:ascii="Times New Roman" w:hAnsi="Times New Roman" w:cs="Times New Roman"/>
        </w:rPr>
        <w:t xml:space="preserve"> and </w:t>
      </w:r>
      <w:proofErr w:type="spellStart"/>
      <w:r w:rsidRPr="008C2B7C">
        <w:rPr>
          <w:rFonts w:ascii="Times New Roman" w:hAnsi="Times New Roman" w:cs="Times New Roman"/>
        </w:rPr>
        <w:t>AppointmentService</w:t>
      </w:r>
      <w:proofErr w:type="spellEnd"/>
      <w:r w:rsidRPr="008C2B7C">
        <w:rPr>
          <w:rFonts w:ascii="Times New Roman" w:hAnsi="Times New Roman" w:cs="Times New Roman"/>
        </w:rPr>
        <w:t xml:space="preserve"> followed the same rhythm, including date‑related edge‑case tests that attempted to schedule appointments in the past and text‑length tests that fed fifty‑one‑character descriptions to the task constructor.</w:t>
      </w:r>
    </w:p>
    <w:p w14:paraId="3C12F65C" w14:textId="3510B351" w:rsidR="008C2B7C" w:rsidRPr="008C2B7C" w:rsidRDefault="008C2B7C" w:rsidP="000117D2">
      <w:pPr>
        <w:spacing w:line="480" w:lineRule="auto"/>
        <w:ind w:firstLine="720"/>
        <w:rPr>
          <w:rFonts w:ascii="Times New Roman" w:hAnsi="Times New Roman" w:cs="Times New Roman"/>
        </w:rPr>
      </w:pPr>
      <w:r w:rsidRPr="008C2B7C">
        <w:rPr>
          <w:rFonts w:ascii="Times New Roman" w:hAnsi="Times New Roman" w:cs="Times New Roman"/>
        </w:rPr>
        <w:t>Because every requirement appeared in at least two tests, coverage climbed above 80 percent—a figure verified with IntelliJ’s built‑in coverage meter. Beyond raw coverage, the tests share a uniform, self‑documenting naming scheme (</w:t>
      </w:r>
      <w:proofErr w:type="spellStart"/>
      <w:r w:rsidRPr="008C2B7C">
        <w:rPr>
          <w:rFonts w:ascii="Times New Roman" w:hAnsi="Times New Roman" w:cs="Times New Roman"/>
        </w:rPr>
        <w:t>methodUnderTest_scenario_expectedOutcome</w:t>
      </w:r>
      <w:proofErr w:type="spellEnd"/>
      <w:r w:rsidRPr="008C2B7C">
        <w:rPr>
          <w:rFonts w:ascii="Times New Roman" w:hAnsi="Times New Roman" w:cs="Times New Roman"/>
        </w:rPr>
        <w:t>). That consistency makes future failures easy to trace because the broken rule is spelled out in the test header itself.</w:t>
      </w:r>
    </w:p>
    <w:p w14:paraId="1CC4D586" w14:textId="5CBBFFFE" w:rsidR="008C2B7C" w:rsidRPr="008C2B7C" w:rsidRDefault="008C2B7C" w:rsidP="000117D2">
      <w:pPr>
        <w:spacing w:line="480" w:lineRule="auto"/>
        <w:ind w:firstLine="720"/>
        <w:rPr>
          <w:rFonts w:ascii="Times New Roman" w:hAnsi="Times New Roman" w:cs="Times New Roman"/>
        </w:rPr>
      </w:pPr>
      <w:r w:rsidRPr="008C2B7C">
        <w:rPr>
          <w:rFonts w:ascii="Times New Roman" w:hAnsi="Times New Roman" w:cs="Times New Roman"/>
        </w:rPr>
        <w:t xml:space="preserve">Writing the tests reminded me that “technically sound” does not just mean passing but also clear. I avoided magic numbers by declaring constants like MAX_ID_LENGTH = 10 at the </w:t>
      </w:r>
      <w:r w:rsidRPr="008C2B7C">
        <w:rPr>
          <w:rFonts w:ascii="Times New Roman" w:hAnsi="Times New Roman" w:cs="Times New Roman"/>
        </w:rPr>
        <w:lastRenderedPageBreak/>
        <w:t xml:space="preserve">top of each suite, then referencing them in both production and test code. Efficiency came from isolating state: I spun up fresh service instances in the @BeforeEach </w:t>
      </w:r>
      <w:proofErr w:type="gramStart"/>
      <w:r w:rsidRPr="008C2B7C">
        <w:rPr>
          <w:rFonts w:ascii="Times New Roman" w:hAnsi="Times New Roman" w:cs="Times New Roman"/>
        </w:rPr>
        <w:t>block</w:t>
      </w:r>
      <w:proofErr w:type="gramEnd"/>
      <w:r w:rsidRPr="008C2B7C">
        <w:rPr>
          <w:rFonts w:ascii="Times New Roman" w:hAnsi="Times New Roman" w:cs="Times New Roman"/>
        </w:rPr>
        <w:t xml:space="preserve"> so no test depended on data left behind by a previous run.</w:t>
      </w:r>
    </w:p>
    <w:p w14:paraId="46402C87" w14:textId="77777777" w:rsidR="008C2B7C" w:rsidRPr="000117D2" w:rsidRDefault="008C2B7C" w:rsidP="008C2B7C">
      <w:pPr>
        <w:spacing w:line="480" w:lineRule="auto"/>
        <w:rPr>
          <w:rFonts w:ascii="Times New Roman" w:hAnsi="Times New Roman" w:cs="Times New Roman"/>
          <w:b/>
          <w:bCs/>
        </w:rPr>
      </w:pPr>
      <w:r w:rsidRPr="000117D2">
        <w:rPr>
          <w:rFonts w:ascii="Times New Roman" w:hAnsi="Times New Roman" w:cs="Times New Roman"/>
          <w:b/>
          <w:bCs/>
        </w:rPr>
        <w:t>Reflection</w:t>
      </w:r>
    </w:p>
    <w:p w14:paraId="26F90F63" w14:textId="6F5733C2" w:rsidR="008C2B7C" w:rsidRPr="000117D2" w:rsidRDefault="008C2B7C" w:rsidP="008C2B7C">
      <w:pPr>
        <w:spacing w:line="480" w:lineRule="auto"/>
        <w:rPr>
          <w:rFonts w:ascii="Times New Roman" w:hAnsi="Times New Roman" w:cs="Times New Roman"/>
          <w:b/>
          <w:bCs/>
          <w:i/>
          <w:iCs/>
        </w:rPr>
      </w:pPr>
      <w:r w:rsidRPr="000117D2">
        <w:rPr>
          <w:rFonts w:ascii="Times New Roman" w:hAnsi="Times New Roman" w:cs="Times New Roman"/>
          <w:b/>
          <w:bCs/>
          <w:i/>
          <w:iCs/>
        </w:rPr>
        <w:t>Testing techniques employed</w:t>
      </w:r>
      <w:r w:rsidR="000117D2">
        <w:rPr>
          <w:rFonts w:ascii="Times New Roman" w:hAnsi="Times New Roman" w:cs="Times New Roman"/>
          <w:b/>
          <w:bCs/>
          <w:i/>
          <w:iCs/>
        </w:rPr>
        <w:t>:</w:t>
      </w:r>
    </w:p>
    <w:p w14:paraId="35F76282" w14:textId="05851C2F" w:rsidR="008C2B7C" w:rsidRPr="008C2B7C" w:rsidRDefault="008C2B7C" w:rsidP="008C2B7C">
      <w:pPr>
        <w:spacing w:line="480" w:lineRule="auto"/>
        <w:rPr>
          <w:rFonts w:ascii="Times New Roman" w:hAnsi="Times New Roman" w:cs="Times New Roman"/>
        </w:rPr>
      </w:pPr>
      <w:r w:rsidRPr="008C2B7C">
        <w:rPr>
          <w:rFonts w:ascii="Times New Roman" w:hAnsi="Times New Roman" w:cs="Times New Roman"/>
        </w:rPr>
        <w:t>Black‑box testing</w:t>
      </w:r>
      <w:r w:rsidR="000117D2">
        <w:rPr>
          <w:rFonts w:ascii="Times New Roman" w:hAnsi="Times New Roman" w:cs="Times New Roman"/>
        </w:rPr>
        <w:t>:</w:t>
      </w:r>
      <w:r w:rsidRPr="008C2B7C">
        <w:rPr>
          <w:rFonts w:ascii="Times New Roman" w:hAnsi="Times New Roman" w:cs="Times New Roman"/>
        </w:rPr>
        <w:t xml:space="preserve"> Focused on inputs and outputs without peeking at implementation details.</w:t>
      </w:r>
    </w:p>
    <w:p w14:paraId="602531D3" w14:textId="66BFA24E" w:rsidR="008C2B7C" w:rsidRPr="008C2B7C" w:rsidRDefault="008C2B7C" w:rsidP="008C2B7C">
      <w:pPr>
        <w:spacing w:line="480" w:lineRule="auto"/>
        <w:rPr>
          <w:rFonts w:ascii="Times New Roman" w:hAnsi="Times New Roman" w:cs="Times New Roman"/>
        </w:rPr>
      </w:pPr>
      <w:r w:rsidRPr="008C2B7C">
        <w:rPr>
          <w:rFonts w:ascii="Times New Roman" w:hAnsi="Times New Roman" w:cs="Times New Roman"/>
        </w:rPr>
        <w:t>Boundary‑value testing</w:t>
      </w:r>
      <w:r w:rsidR="000117D2">
        <w:rPr>
          <w:rFonts w:ascii="Times New Roman" w:hAnsi="Times New Roman" w:cs="Times New Roman"/>
        </w:rPr>
        <w:t xml:space="preserve">: </w:t>
      </w:r>
      <w:r w:rsidRPr="008C2B7C">
        <w:rPr>
          <w:rFonts w:ascii="Times New Roman" w:hAnsi="Times New Roman" w:cs="Times New Roman"/>
        </w:rPr>
        <w:t>IDs at exactly ten characters and at eleven, descriptions at fifty and fifty‑one, phone numbers at ten and eleven digits.</w:t>
      </w:r>
    </w:p>
    <w:p w14:paraId="17AB2B1A" w14:textId="7A62224D" w:rsidR="008C2B7C" w:rsidRPr="008C2B7C" w:rsidRDefault="008C2B7C" w:rsidP="008C2B7C">
      <w:pPr>
        <w:spacing w:line="480" w:lineRule="auto"/>
        <w:rPr>
          <w:rFonts w:ascii="Times New Roman" w:hAnsi="Times New Roman" w:cs="Times New Roman"/>
        </w:rPr>
      </w:pPr>
      <w:proofErr w:type="gramStart"/>
      <w:r w:rsidRPr="008C2B7C">
        <w:rPr>
          <w:rFonts w:ascii="Times New Roman" w:hAnsi="Times New Roman" w:cs="Times New Roman"/>
        </w:rPr>
        <w:t>Exception</w:t>
      </w:r>
      <w:proofErr w:type="gramEnd"/>
      <w:r w:rsidRPr="008C2B7C">
        <w:rPr>
          <w:rFonts w:ascii="Times New Roman" w:hAnsi="Times New Roman" w:cs="Times New Roman"/>
        </w:rPr>
        <w:t xml:space="preserve"> testing</w:t>
      </w:r>
      <w:r w:rsidR="000117D2">
        <w:rPr>
          <w:rFonts w:ascii="Times New Roman" w:hAnsi="Times New Roman" w:cs="Times New Roman"/>
        </w:rPr>
        <w:t>:</w:t>
      </w:r>
      <w:r w:rsidRPr="008C2B7C">
        <w:rPr>
          <w:rFonts w:ascii="Times New Roman" w:hAnsi="Times New Roman" w:cs="Times New Roman"/>
        </w:rPr>
        <w:t xml:space="preserve"> Nulls, past dates, and jumbo strings all had to raise explicit errors.</w:t>
      </w:r>
    </w:p>
    <w:p w14:paraId="1CA13560" w14:textId="3907027C" w:rsidR="008C2B7C" w:rsidRPr="000117D2" w:rsidRDefault="008C2B7C" w:rsidP="008C2B7C">
      <w:pPr>
        <w:spacing w:line="480" w:lineRule="auto"/>
        <w:rPr>
          <w:rFonts w:ascii="Times New Roman" w:hAnsi="Times New Roman" w:cs="Times New Roman"/>
          <w:b/>
          <w:bCs/>
          <w:i/>
          <w:iCs/>
        </w:rPr>
      </w:pPr>
      <w:r w:rsidRPr="000117D2">
        <w:rPr>
          <w:rFonts w:ascii="Times New Roman" w:hAnsi="Times New Roman" w:cs="Times New Roman"/>
          <w:b/>
          <w:bCs/>
          <w:i/>
          <w:iCs/>
        </w:rPr>
        <w:t>Techniques not applied (and why</w:t>
      </w:r>
      <w:r w:rsidR="000117D2">
        <w:rPr>
          <w:rFonts w:ascii="Times New Roman" w:hAnsi="Times New Roman" w:cs="Times New Roman"/>
          <w:b/>
          <w:bCs/>
          <w:i/>
          <w:iCs/>
        </w:rPr>
        <w:t>):</w:t>
      </w:r>
    </w:p>
    <w:p w14:paraId="066CA0E4" w14:textId="6916F6FC" w:rsidR="008C2B7C" w:rsidRPr="008C2B7C" w:rsidRDefault="008C2B7C" w:rsidP="008C2B7C">
      <w:pPr>
        <w:spacing w:line="480" w:lineRule="auto"/>
        <w:rPr>
          <w:rFonts w:ascii="Times New Roman" w:hAnsi="Times New Roman" w:cs="Times New Roman"/>
        </w:rPr>
      </w:pPr>
      <w:r w:rsidRPr="008C2B7C">
        <w:rPr>
          <w:rFonts w:ascii="Times New Roman" w:hAnsi="Times New Roman" w:cs="Times New Roman"/>
        </w:rPr>
        <w:t>Integration testing</w:t>
      </w:r>
      <w:r w:rsidR="000117D2">
        <w:rPr>
          <w:rFonts w:ascii="Times New Roman" w:hAnsi="Times New Roman" w:cs="Times New Roman"/>
        </w:rPr>
        <w:t xml:space="preserve">: </w:t>
      </w:r>
      <w:r w:rsidRPr="008C2B7C">
        <w:rPr>
          <w:rFonts w:ascii="Times New Roman" w:hAnsi="Times New Roman" w:cs="Times New Roman"/>
        </w:rPr>
        <w:t>Everything lives in memory and calls no external resources, so nothing to integrate yet.</w:t>
      </w:r>
    </w:p>
    <w:p w14:paraId="0F992FB3" w14:textId="7E5AAC32" w:rsidR="008C2B7C" w:rsidRPr="008C2B7C" w:rsidRDefault="008C2B7C" w:rsidP="008C2B7C">
      <w:pPr>
        <w:spacing w:line="480" w:lineRule="auto"/>
        <w:rPr>
          <w:rFonts w:ascii="Times New Roman" w:hAnsi="Times New Roman" w:cs="Times New Roman"/>
        </w:rPr>
      </w:pPr>
      <w:r w:rsidRPr="008C2B7C">
        <w:rPr>
          <w:rFonts w:ascii="Times New Roman" w:hAnsi="Times New Roman" w:cs="Times New Roman"/>
        </w:rPr>
        <w:t>Exploratory testing</w:t>
      </w:r>
      <w:r w:rsidR="000117D2">
        <w:rPr>
          <w:rFonts w:ascii="Times New Roman" w:hAnsi="Times New Roman" w:cs="Times New Roman"/>
        </w:rPr>
        <w:t>:</w:t>
      </w:r>
      <w:r w:rsidRPr="008C2B7C">
        <w:rPr>
          <w:rFonts w:ascii="Times New Roman" w:hAnsi="Times New Roman" w:cs="Times New Roman"/>
        </w:rPr>
        <w:t xml:space="preserve"> Scope was small and requirements unambiguous, leaving little room for free‑form discovery.</w:t>
      </w:r>
    </w:p>
    <w:p w14:paraId="3D28093F" w14:textId="10DE681C" w:rsidR="008C2B7C" w:rsidRPr="008C2B7C" w:rsidRDefault="008C2B7C" w:rsidP="008C2B7C">
      <w:pPr>
        <w:spacing w:line="480" w:lineRule="auto"/>
        <w:rPr>
          <w:rFonts w:ascii="Times New Roman" w:hAnsi="Times New Roman" w:cs="Times New Roman"/>
        </w:rPr>
      </w:pPr>
      <w:r w:rsidRPr="008C2B7C">
        <w:rPr>
          <w:rFonts w:ascii="Times New Roman" w:hAnsi="Times New Roman" w:cs="Times New Roman"/>
        </w:rPr>
        <w:t>Formal regression testing</w:t>
      </w:r>
      <w:r w:rsidR="000117D2">
        <w:rPr>
          <w:rFonts w:ascii="Times New Roman" w:hAnsi="Times New Roman" w:cs="Times New Roman"/>
        </w:rPr>
        <w:t>:</w:t>
      </w:r>
      <w:r w:rsidRPr="008C2B7C">
        <w:rPr>
          <w:rFonts w:ascii="Times New Roman" w:hAnsi="Times New Roman" w:cs="Times New Roman"/>
        </w:rPr>
        <w:t xml:space="preserve"> The same unit suite doubles as the regression net; no separate harness needed for now.</w:t>
      </w:r>
    </w:p>
    <w:p w14:paraId="07B9E4A2" w14:textId="694034F4" w:rsidR="008C2B7C" w:rsidRPr="008C2B7C" w:rsidRDefault="008C2B7C" w:rsidP="008C2B7C">
      <w:pPr>
        <w:spacing w:line="480" w:lineRule="auto"/>
        <w:rPr>
          <w:rFonts w:ascii="Times New Roman" w:hAnsi="Times New Roman" w:cs="Times New Roman"/>
        </w:rPr>
      </w:pPr>
      <w:r w:rsidRPr="008C2B7C">
        <w:rPr>
          <w:rFonts w:ascii="Times New Roman" w:hAnsi="Times New Roman" w:cs="Times New Roman"/>
        </w:rPr>
        <w:t xml:space="preserve">These omissions are contextual, not permanent. As soon as a persistence layer or REST controller appears, integration tests that span repositories, controllers, and services will become essential. Likewise, </w:t>
      </w:r>
      <w:proofErr w:type="gramStart"/>
      <w:r w:rsidRPr="008C2B7C">
        <w:rPr>
          <w:rFonts w:ascii="Times New Roman" w:hAnsi="Times New Roman" w:cs="Times New Roman"/>
        </w:rPr>
        <w:t>a future</w:t>
      </w:r>
      <w:proofErr w:type="gramEnd"/>
      <w:r w:rsidRPr="008C2B7C">
        <w:rPr>
          <w:rFonts w:ascii="Times New Roman" w:hAnsi="Times New Roman" w:cs="Times New Roman"/>
        </w:rPr>
        <w:t xml:space="preserve"> UI will benefit from </w:t>
      </w:r>
      <w:proofErr w:type="gramStart"/>
      <w:r w:rsidRPr="008C2B7C">
        <w:rPr>
          <w:rFonts w:ascii="Times New Roman" w:hAnsi="Times New Roman" w:cs="Times New Roman"/>
        </w:rPr>
        <w:t>exploratory</w:t>
      </w:r>
      <w:proofErr w:type="gramEnd"/>
      <w:r w:rsidRPr="008C2B7C">
        <w:rPr>
          <w:rFonts w:ascii="Times New Roman" w:hAnsi="Times New Roman" w:cs="Times New Roman"/>
        </w:rPr>
        <w:t xml:space="preserve"> sessions to uncover usability quirks.</w:t>
      </w:r>
    </w:p>
    <w:p w14:paraId="0184D334" w14:textId="5CF7200B" w:rsidR="008C2B7C" w:rsidRPr="000117D2" w:rsidRDefault="008C2B7C" w:rsidP="008C2B7C">
      <w:pPr>
        <w:spacing w:line="480" w:lineRule="auto"/>
        <w:rPr>
          <w:rFonts w:ascii="Times New Roman" w:hAnsi="Times New Roman" w:cs="Times New Roman"/>
          <w:b/>
          <w:bCs/>
          <w:i/>
          <w:iCs/>
        </w:rPr>
      </w:pPr>
      <w:r w:rsidRPr="000117D2">
        <w:rPr>
          <w:rFonts w:ascii="Times New Roman" w:hAnsi="Times New Roman" w:cs="Times New Roman"/>
          <w:b/>
          <w:bCs/>
          <w:i/>
          <w:iCs/>
        </w:rPr>
        <w:lastRenderedPageBreak/>
        <w:t>Practical implications</w:t>
      </w:r>
      <w:r w:rsidR="000117D2">
        <w:rPr>
          <w:rFonts w:ascii="Times New Roman" w:hAnsi="Times New Roman" w:cs="Times New Roman"/>
          <w:b/>
          <w:bCs/>
          <w:i/>
          <w:iCs/>
        </w:rPr>
        <w:t>:</w:t>
      </w:r>
    </w:p>
    <w:p w14:paraId="27FB73B9" w14:textId="5F3C58F8" w:rsidR="008C2B7C" w:rsidRPr="008C2B7C" w:rsidRDefault="008C2B7C" w:rsidP="008C2B7C">
      <w:pPr>
        <w:spacing w:line="480" w:lineRule="auto"/>
        <w:rPr>
          <w:rFonts w:ascii="Times New Roman" w:hAnsi="Times New Roman" w:cs="Times New Roman"/>
        </w:rPr>
      </w:pPr>
      <w:r w:rsidRPr="008C2B7C">
        <w:rPr>
          <w:rFonts w:ascii="Times New Roman" w:hAnsi="Times New Roman" w:cs="Times New Roman"/>
        </w:rPr>
        <w:t xml:space="preserve">Techniques map to risk profiles. Boundary checks and </w:t>
      </w:r>
      <w:proofErr w:type="gramStart"/>
      <w:r w:rsidRPr="008C2B7C">
        <w:rPr>
          <w:rFonts w:ascii="Times New Roman" w:hAnsi="Times New Roman" w:cs="Times New Roman"/>
        </w:rPr>
        <w:t>exception</w:t>
      </w:r>
      <w:proofErr w:type="gramEnd"/>
      <w:r w:rsidRPr="008C2B7C">
        <w:rPr>
          <w:rFonts w:ascii="Times New Roman" w:hAnsi="Times New Roman" w:cs="Times New Roman"/>
        </w:rPr>
        <w:t xml:space="preserve"> assertions are vital for any application that consumes user‑supplied data. Large microservice ecosystems depend more on integration suites that verify messages or HTTP payloads traveling between bounded contexts. Matching the technique to the highest‑risk area ensures testing time is spent where it matters most.</w:t>
      </w:r>
    </w:p>
    <w:p w14:paraId="74934BE2" w14:textId="77777777" w:rsidR="008C2B7C" w:rsidRPr="000117D2" w:rsidRDefault="008C2B7C" w:rsidP="008C2B7C">
      <w:pPr>
        <w:spacing w:line="480" w:lineRule="auto"/>
        <w:rPr>
          <w:rFonts w:ascii="Times New Roman" w:hAnsi="Times New Roman" w:cs="Times New Roman"/>
          <w:b/>
          <w:bCs/>
        </w:rPr>
      </w:pPr>
      <w:r w:rsidRPr="000117D2">
        <w:rPr>
          <w:rFonts w:ascii="Times New Roman" w:hAnsi="Times New Roman" w:cs="Times New Roman"/>
          <w:b/>
          <w:bCs/>
        </w:rPr>
        <w:t>Mindset</w:t>
      </w:r>
    </w:p>
    <w:p w14:paraId="27F8EF09" w14:textId="769D7271" w:rsidR="008C2B7C" w:rsidRPr="008C2B7C" w:rsidRDefault="008C2B7C" w:rsidP="000117D2">
      <w:pPr>
        <w:spacing w:line="480" w:lineRule="auto"/>
        <w:ind w:firstLine="720"/>
        <w:rPr>
          <w:rFonts w:ascii="Times New Roman" w:hAnsi="Times New Roman" w:cs="Times New Roman"/>
        </w:rPr>
      </w:pPr>
      <w:r w:rsidRPr="008C2B7C">
        <w:rPr>
          <w:rFonts w:ascii="Times New Roman" w:hAnsi="Times New Roman" w:cs="Times New Roman"/>
        </w:rPr>
        <w:t>I approached testing with constructive paranoia: assume the code is broken until proven otherwise. That stance led me to simulate “abusive” user behavior early</w:t>
      </w:r>
      <w:r w:rsidR="000117D2">
        <w:rPr>
          <w:rFonts w:ascii="Times New Roman" w:hAnsi="Times New Roman" w:cs="Times New Roman"/>
        </w:rPr>
        <w:t xml:space="preserve">; </w:t>
      </w:r>
      <w:r w:rsidRPr="008C2B7C">
        <w:rPr>
          <w:rFonts w:ascii="Times New Roman" w:hAnsi="Times New Roman" w:cs="Times New Roman"/>
        </w:rPr>
        <w:t>null inputs, absurdly long strings, duplicate IDs</w:t>
      </w:r>
      <w:r w:rsidR="000117D2">
        <w:rPr>
          <w:rFonts w:ascii="Times New Roman" w:hAnsi="Times New Roman" w:cs="Times New Roman"/>
        </w:rPr>
        <w:t xml:space="preserve">; </w:t>
      </w:r>
      <w:r w:rsidRPr="008C2B7C">
        <w:rPr>
          <w:rFonts w:ascii="Times New Roman" w:hAnsi="Times New Roman" w:cs="Times New Roman"/>
        </w:rPr>
        <w:t>to see where seams might split. Bias was another danger: because I also wrote the production code, I risked crafting tests that merely confirmed my own logic. To blunt that tendency, I paired every positive test with a negative counterpart. Discipline tied it together. Even when constraints repeated across classes, I resisted copy‑and‑paste testing. Each service received its own independent tests, shielding us from hidden coupling and future technical debt.</w:t>
      </w:r>
    </w:p>
    <w:p w14:paraId="13F70763" w14:textId="77777777" w:rsidR="008C2B7C" w:rsidRPr="000117D2" w:rsidRDefault="008C2B7C" w:rsidP="008C2B7C">
      <w:pPr>
        <w:spacing w:line="480" w:lineRule="auto"/>
        <w:rPr>
          <w:rFonts w:ascii="Times New Roman" w:hAnsi="Times New Roman" w:cs="Times New Roman"/>
          <w:b/>
          <w:bCs/>
        </w:rPr>
      </w:pPr>
      <w:r w:rsidRPr="000117D2">
        <w:rPr>
          <w:rFonts w:ascii="Times New Roman" w:hAnsi="Times New Roman" w:cs="Times New Roman"/>
          <w:b/>
          <w:bCs/>
        </w:rPr>
        <w:t>Conclusion</w:t>
      </w:r>
    </w:p>
    <w:p w14:paraId="06951EC3" w14:textId="41F9971B" w:rsidR="00493885" w:rsidRPr="008C2B7C" w:rsidRDefault="009C5A40" w:rsidP="009C5A40">
      <w:pPr>
        <w:spacing w:line="480" w:lineRule="auto"/>
        <w:ind w:firstLine="720"/>
      </w:pPr>
      <w:r w:rsidRPr="009C5A40">
        <w:rPr>
          <w:rFonts w:ascii="Times New Roman" w:hAnsi="Times New Roman" w:cs="Times New Roman"/>
        </w:rPr>
        <w:t>Project One taught me that unit tests aren’t just a box to check</w:t>
      </w:r>
      <w:r>
        <w:rPr>
          <w:rFonts w:ascii="Times New Roman" w:hAnsi="Times New Roman" w:cs="Times New Roman"/>
        </w:rPr>
        <w:t xml:space="preserve">, </w:t>
      </w:r>
      <w:r w:rsidRPr="009C5A40">
        <w:rPr>
          <w:rFonts w:ascii="Times New Roman" w:hAnsi="Times New Roman" w:cs="Times New Roman"/>
        </w:rPr>
        <w:t>they’re a roadmap for reliable code. By turning each requirement into both a “works-as-designed” test and a “fails-when-it-should” test, and by keeping tests small and self</w:t>
      </w:r>
      <w:r w:rsidRPr="009C5A40">
        <w:rPr>
          <w:rFonts w:ascii="Times New Roman" w:hAnsi="Times New Roman" w:cs="Times New Roman"/>
        </w:rPr>
        <w:noBreakHyphen/>
        <w:t xml:space="preserve">contained, I ended up with a suite I </w:t>
      </w:r>
      <w:proofErr w:type="gramStart"/>
      <w:r w:rsidRPr="009C5A40">
        <w:rPr>
          <w:rFonts w:ascii="Times New Roman" w:hAnsi="Times New Roman" w:cs="Times New Roman"/>
        </w:rPr>
        <w:t>actually trust</w:t>
      </w:r>
      <w:proofErr w:type="gramEnd"/>
      <w:r w:rsidRPr="009C5A40">
        <w:rPr>
          <w:rFonts w:ascii="Times New Roman" w:hAnsi="Times New Roman" w:cs="Times New Roman"/>
        </w:rPr>
        <w:t xml:space="preserve">. Clear naming, fresh state for every run, and a bit of healthy skepticism mean these tests will keep paying dividends as we add persistence, UIs, or whatever comes next. In short, </w:t>
      </w:r>
      <w:r w:rsidRPr="009C5A40">
        <w:rPr>
          <w:rFonts w:ascii="Times New Roman" w:hAnsi="Times New Roman" w:cs="Times New Roman"/>
        </w:rPr>
        <w:lastRenderedPageBreak/>
        <w:t>good unit tests are less about hitting coverage numbers and more about preventing surprises when real people use the software.</w:t>
      </w:r>
    </w:p>
    <w:sectPr w:rsidR="00493885" w:rsidRPr="008C2B7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A80BEF" w14:textId="77777777" w:rsidR="009C5A40" w:rsidRDefault="009C5A40" w:rsidP="009C5A40">
      <w:pPr>
        <w:spacing w:after="0" w:line="240" w:lineRule="auto"/>
      </w:pPr>
      <w:r>
        <w:separator/>
      </w:r>
    </w:p>
  </w:endnote>
  <w:endnote w:type="continuationSeparator" w:id="0">
    <w:p w14:paraId="4E2C4E0A" w14:textId="77777777" w:rsidR="009C5A40" w:rsidRDefault="009C5A40" w:rsidP="009C5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152A59" w14:textId="77777777" w:rsidR="009C5A40" w:rsidRDefault="009C5A40" w:rsidP="009C5A40">
      <w:pPr>
        <w:spacing w:after="0" w:line="240" w:lineRule="auto"/>
      </w:pPr>
      <w:r>
        <w:separator/>
      </w:r>
    </w:p>
  </w:footnote>
  <w:footnote w:type="continuationSeparator" w:id="0">
    <w:p w14:paraId="090E6767" w14:textId="77777777" w:rsidR="009C5A40" w:rsidRDefault="009C5A40" w:rsidP="009C5A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2612AB" w14:textId="3BA70E73" w:rsidR="009C5A40" w:rsidRDefault="009C5A40">
    <w:pPr>
      <w:pStyle w:val="Header"/>
    </w:pPr>
    <w:r>
      <w:t>Andrew Corrigan</w:t>
    </w:r>
  </w:p>
  <w:p w14:paraId="4735CEF4" w14:textId="77777777" w:rsidR="009C5A40" w:rsidRDefault="009C5A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F6984"/>
    <w:multiLevelType w:val="multilevel"/>
    <w:tmpl w:val="7880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9A0CA8"/>
    <w:multiLevelType w:val="multilevel"/>
    <w:tmpl w:val="7B62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4335120">
    <w:abstractNumId w:val="1"/>
  </w:num>
  <w:num w:numId="2" w16cid:durableId="1880848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885"/>
    <w:rsid w:val="000117D2"/>
    <w:rsid w:val="00477E45"/>
    <w:rsid w:val="00493885"/>
    <w:rsid w:val="007E09F6"/>
    <w:rsid w:val="008C2B7C"/>
    <w:rsid w:val="009B39FE"/>
    <w:rsid w:val="009C5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213E7"/>
  <w15:chartTrackingRefBased/>
  <w15:docId w15:val="{594B7CE7-DFB4-45D0-BD5D-B896EE407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38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38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38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38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38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38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38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38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38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8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38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38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38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38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38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38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38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3885"/>
    <w:rPr>
      <w:rFonts w:eastAsiaTheme="majorEastAsia" w:cstheme="majorBidi"/>
      <w:color w:val="272727" w:themeColor="text1" w:themeTint="D8"/>
    </w:rPr>
  </w:style>
  <w:style w:type="paragraph" w:styleId="Title">
    <w:name w:val="Title"/>
    <w:basedOn w:val="Normal"/>
    <w:next w:val="Normal"/>
    <w:link w:val="TitleChar"/>
    <w:uiPriority w:val="10"/>
    <w:qFormat/>
    <w:rsid w:val="004938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38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38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38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3885"/>
    <w:pPr>
      <w:spacing w:before="160"/>
      <w:jc w:val="center"/>
    </w:pPr>
    <w:rPr>
      <w:i/>
      <w:iCs/>
      <w:color w:val="404040" w:themeColor="text1" w:themeTint="BF"/>
    </w:rPr>
  </w:style>
  <w:style w:type="character" w:customStyle="1" w:styleId="QuoteChar">
    <w:name w:val="Quote Char"/>
    <w:basedOn w:val="DefaultParagraphFont"/>
    <w:link w:val="Quote"/>
    <w:uiPriority w:val="29"/>
    <w:rsid w:val="00493885"/>
    <w:rPr>
      <w:i/>
      <w:iCs/>
      <w:color w:val="404040" w:themeColor="text1" w:themeTint="BF"/>
    </w:rPr>
  </w:style>
  <w:style w:type="paragraph" w:styleId="ListParagraph">
    <w:name w:val="List Paragraph"/>
    <w:basedOn w:val="Normal"/>
    <w:uiPriority w:val="34"/>
    <w:qFormat/>
    <w:rsid w:val="00493885"/>
    <w:pPr>
      <w:ind w:left="720"/>
      <w:contextualSpacing/>
    </w:pPr>
  </w:style>
  <w:style w:type="character" w:styleId="IntenseEmphasis">
    <w:name w:val="Intense Emphasis"/>
    <w:basedOn w:val="DefaultParagraphFont"/>
    <w:uiPriority w:val="21"/>
    <w:qFormat/>
    <w:rsid w:val="00493885"/>
    <w:rPr>
      <w:i/>
      <w:iCs/>
      <w:color w:val="0F4761" w:themeColor="accent1" w:themeShade="BF"/>
    </w:rPr>
  </w:style>
  <w:style w:type="paragraph" w:styleId="IntenseQuote">
    <w:name w:val="Intense Quote"/>
    <w:basedOn w:val="Normal"/>
    <w:next w:val="Normal"/>
    <w:link w:val="IntenseQuoteChar"/>
    <w:uiPriority w:val="30"/>
    <w:qFormat/>
    <w:rsid w:val="004938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3885"/>
    <w:rPr>
      <w:i/>
      <w:iCs/>
      <w:color w:val="0F4761" w:themeColor="accent1" w:themeShade="BF"/>
    </w:rPr>
  </w:style>
  <w:style w:type="character" w:styleId="IntenseReference">
    <w:name w:val="Intense Reference"/>
    <w:basedOn w:val="DefaultParagraphFont"/>
    <w:uiPriority w:val="32"/>
    <w:qFormat/>
    <w:rsid w:val="00493885"/>
    <w:rPr>
      <w:b/>
      <w:bCs/>
      <w:smallCaps/>
      <w:color w:val="0F4761" w:themeColor="accent1" w:themeShade="BF"/>
      <w:spacing w:val="5"/>
    </w:rPr>
  </w:style>
  <w:style w:type="paragraph" w:styleId="Header">
    <w:name w:val="header"/>
    <w:basedOn w:val="Normal"/>
    <w:link w:val="HeaderChar"/>
    <w:uiPriority w:val="99"/>
    <w:unhideWhenUsed/>
    <w:rsid w:val="009C5A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A40"/>
  </w:style>
  <w:style w:type="paragraph" w:styleId="Footer">
    <w:name w:val="footer"/>
    <w:basedOn w:val="Normal"/>
    <w:link w:val="FooterChar"/>
    <w:uiPriority w:val="99"/>
    <w:unhideWhenUsed/>
    <w:rsid w:val="009C5A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A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425103">
      <w:bodyDiv w:val="1"/>
      <w:marLeft w:val="0"/>
      <w:marRight w:val="0"/>
      <w:marTop w:val="0"/>
      <w:marBottom w:val="0"/>
      <w:divBdr>
        <w:top w:val="none" w:sz="0" w:space="0" w:color="auto"/>
        <w:left w:val="none" w:sz="0" w:space="0" w:color="auto"/>
        <w:bottom w:val="none" w:sz="0" w:space="0" w:color="auto"/>
        <w:right w:val="none" w:sz="0" w:space="0" w:color="auto"/>
      </w:divBdr>
    </w:div>
    <w:div w:id="708527518">
      <w:bodyDiv w:val="1"/>
      <w:marLeft w:val="0"/>
      <w:marRight w:val="0"/>
      <w:marTop w:val="0"/>
      <w:marBottom w:val="0"/>
      <w:divBdr>
        <w:top w:val="none" w:sz="0" w:space="0" w:color="auto"/>
        <w:left w:val="none" w:sz="0" w:space="0" w:color="auto"/>
        <w:bottom w:val="none" w:sz="0" w:space="0" w:color="auto"/>
        <w:right w:val="none" w:sz="0" w:space="0" w:color="auto"/>
      </w:divBdr>
    </w:div>
    <w:div w:id="1121338463">
      <w:bodyDiv w:val="1"/>
      <w:marLeft w:val="0"/>
      <w:marRight w:val="0"/>
      <w:marTop w:val="0"/>
      <w:marBottom w:val="0"/>
      <w:divBdr>
        <w:top w:val="none" w:sz="0" w:space="0" w:color="auto"/>
        <w:left w:val="none" w:sz="0" w:space="0" w:color="auto"/>
        <w:bottom w:val="none" w:sz="0" w:space="0" w:color="auto"/>
        <w:right w:val="none" w:sz="0" w:space="0" w:color="auto"/>
      </w:divBdr>
    </w:div>
    <w:div w:id="124329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574</TotalTime>
  <Pages>4</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Corrigan</dc:creator>
  <cp:keywords/>
  <dc:description/>
  <cp:lastModifiedBy>Andrew Corrigan</cp:lastModifiedBy>
  <cp:revision>1</cp:revision>
  <dcterms:created xsi:type="dcterms:W3CDTF">2025-04-20T17:53:00Z</dcterms:created>
  <dcterms:modified xsi:type="dcterms:W3CDTF">2025-04-21T03:27:00Z</dcterms:modified>
</cp:coreProperties>
</file>