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第7组 Sprint1计划会会议纪要</w:t>
      </w:r>
    </w:p>
    <w:p>
      <w:r>
        <w:t>项目：爱管理　课程：软件项目管理实验二　Sprint：1</w:t>
      </w:r>
    </w:p>
    <w:p>
      <w:r>
        <w:t>本轮 DRI：杨浩伟　整理日期：2026年10月8日</w:t>
      </w:r>
    </w:p>
    <w:p>
      <w:r>
        <w:t>本轮选择 US01 查看项目成员、US04 创建并分配任务、US05 更新任务状态作为首个可运行增量。三个 Must 故事共同回答“有哪些人、谁负责什么、任务进行到哪里”，与实验一“看得见工作、看得见责任、看得见进度”的项目方向一致。本纪要还原范围与实施方案，并注明后续执行结果，供课程验收追溯。</w:t>
      </w:r>
    </w:p>
    <w:p>
      <w:pPr>
        <w:pStyle w:val="Heading1"/>
      </w:pPr>
      <w:r>
        <w:t>一 记录来源与团队</w:t>
      </w:r>
    </w:p>
    <w:p>
      <w:r>
        <w:t>记录形成方式：依据 Sprint 1 期间团队协作、Git 历史及项目证据追溯整理；未单独留存会议起止时间。会议地点亦未留存。本文件不是独立现场会议的逐字记录，不推定所有成员在某一时刻共同参会。</w:t>
      </w:r>
    </w:p>
    <w:p>
      <w:r>
        <w:t>团队协作成员为彭佳成、朱传玺、杨浩伟、何健翔。产品与范围职责由彭佳成承担；未见另行任命 PO 的记录。杨浩伟承担本轮 DRI 与质量风险协调。教师、外部干系人参会情况无独立记录。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93"/>
        <w:gridCol w:w="2393"/>
        <w:gridCol w:w="4626"/>
      </w:tblGrid>
      <w:tr>
        <w:trPr>
          <w:tblHeader/>
          <w:cantSplit/>
        </w:trPr>
        <w:tc>
          <w:tcPr>
            <w:tcW w:type="dxa" w:w="239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E7E6E6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宋体"/>
                <w:b/>
                <w:color w:val="000000"/>
                <w:sz w:val="20"/>
              </w:rPr>
              <w:t>成员</w:t>
            </w:r>
          </w:p>
        </w:tc>
        <w:tc>
          <w:tcPr>
            <w:tcW w:type="dxa" w:w="239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E7E6E6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宋体"/>
                <w:b/>
                <w:color w:val="000000"/>
                <w:sz w:val="20"/>
              </w:rPr>
              <w:t>长期职责</w:t>
            </w:r>
          </w:p>
        </w:tc>
        <w:tc>
          <w:tcPr>
            <w:tcW w:type="dxa" w:w="462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E7E6E6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宋体"/>
                <w:b/>
                <w:color w:val="000000"/>
                <w:sz w:val="20"/>
              </w:rPr>
              <w:t>本轮工作</w:t>
            </w:r>
          </w:p>
        </w:tc>
      </w:tr>
      <w:tr>
        <w:trPr>
          <w:cantSplit/>
        </w:trPr>
        <w:tc>
          <w:tcPr>
            <w:tcW w:type="dxa" w:w="239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彭佳成</w:t>
            </w:r>
          </w:p>
        </w:tc>
        <w:tc>
          <w:tcPr>
            <w:tcW w:type="dxa" w:w="239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产品与范围</w:t>
            </w:r>
          </w:p>
        </w:tc>
        <w:tc>
          <w:tcPr>
            <w:tcW w:type="dxa" w:w="462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US01 成员契约、接口、页面边界与测试</w:t>
            </w:r>
          </w:p>
        </w:tc>
      </w:tr>
      <w:tr>
        <w:trPr>
          <w:cantSplit/>
        </w:trPr>
        <w:tc>
          <w:tcPr>
            <w:tcW w:type="dxa" w:w="239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朱传玺</w:t>
            </w:r>
          </w:p>
        </w:tc>
        <w:tc>
          <w:tcPr>
            <w:tcW w:type="dxa" w:w="239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技术与架构</w:t>
            </w:r>
          </w:p>
        </w:tc>
        <w:tc>
          <w:tcPr>
            <w:tcW w:type="dxa" w:w="462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工程基础、统一数据层、US04 创建与分配</w:t>
            </w:r>
          </w:p>
        </w:tc>
      </w:tr>
      <w:tr>
        <w:trPr>
          <w:cantSplit/>
        </w:trPr>
        <w:tc>
          <w:tcPr>
            <w:tcW w:type="dxa" w:w="239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杨浩伟</w:t>
            </w:r>
          </w:p>
        </w:tc>
        <w:tc>
          <w:tcPr>
            <w:tcW w:type="dxa" w:w="239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质量与风险</w:t>
            </w:r>
          </w:p>
        </w:tc>
        <w:tc>
          <w:tcPr>
            <w:tcW w:type="dxa" w:w="462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DRI、分支集成协调、验收与文档收尾</w:t>
            </w:r>
          </w:p>
        </w:tc>
      </w:tr>
      <w:tr>
        <w:trPr>
          <w:cantSplit/>
        </w:trPr>
        <w:tc>
          <w:tcPr>
            <w:tcW w:type="dxa" w:w="239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何健翔</w:t>
            </w:r>
          </w:p>
        </w:tc>
        <w:tc>
          <w:tcPr>
            <w:tcW w:type="dxa" w:w="239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AI协调与记录</w:t>
            </w:r>
          </w:p>
        </w:tc>
        <w:tc>
          <w:tcPr>
            <w:tcW w:type="dxa" w:w="462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US05 状态逻辑、接口、测试及 AI 记录协作</w:t>
            </w:r>
          </w:p>
        </w:tc>
      </w:tr>
    </w:tbl>
    <w:p>
      <w:pPr>
        <w:spacing w:after="0" w:line="80" w:lineRule="exact"/>
      </w:pPr>
      <w:r>
        <w:rPr>
          <w:rFonts w:ascii="Arial" w:hAnsi="Arial" w:eastAsia="宋体"/>
          <w:b w:val="0"/>
          <w:color w:val="000000"/>
          <w:sz w:val="2"/>
        </w:rPr>
      </w:r>
    </w:p>
    <w:p>
      <w:r>
        <w:t>上述责任分配依据实验一正式规划与仓库实施文档，不以 Git 提交账户代替个人工作量统计。多人使用工具或共享提交身份，不能据此计算个人贡献比例。</w:t>
      </w:r>
    </w:p>
    <w:p>
      <w:pPr>
        <w:pStyle w:val="Heading1"/>
      </w:pPr>
      <w:r>
        <w:t>二 Sprint Goal 与范围依据</w:t>
      </w:r>
    </w:p>
    <w:p>
      <w:r>
        <w:t>Sprint Goal：在本地演示环境中完成查看项目成员 → 创建并分配任务 → 更新任务状态，形成可运行、可测试、可演示的最小功能闭环。</w:t>
      </w:r>
    </w:p>
    <w:p>
      <w:r>
        <w:t>实验一正式规划将首个 Sprint 定为这三个故事，后续再加入登录、权限、任务属性、迭代管理和统计。本轮复用预置四名成员，不实施成员新增、登录、复杂权限、评论、上传或统计。首个切片先验证成员与任务的关联和状态持久化，避免在基础流程尚未连通前同时展开权限与多项目功能。</w:t>
      </w:r>
    </w:p>
    <w:p>
      <w:r>
        <w:t>本次以实验一正式项目规划、当前仓库故事编号和实际实现为基线。另有早期用户故事地图采用不同编号与更大首轮范围，不与正式规划混用。技术栈是在执行阶段明确的，不能把最终方案写成实验一已确定的技术决策。</w:t>
      </w:r>
    </w:p>
    <w:p>
      <w:pPr>
        <w:pStyle w:val="Heading1"/>
      </w:pPr>
      <w:r>
        <w:t>三 入选故事与验收标准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92"/>
        <w:gridCol w:w="1377"/>
        <w:gridCol w:w="1377"/>
        <w:gridCol w:w="1377"/>
        <w:gridCol w:w="3787"/>
      </w:tblGrid>
      <w:tr>
        <w:trPr>
          <w:tblHeader/>
          <w:cantSplit/>
        </w:trPr>
        <w:tc>
          <w:tcPr>
            <w:tcW w:type="dxa" w:w="149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E7E6E6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宋体"/>
                <w:b/>
                <w:color w:val="000000"/>
                <w:sz w:val="20"/>
              </w:rPr>
              <w:t>故事与标题</w:t>
            </w:r>
          </w:p>
        </w:tc>
        <w:tc>
          <w:tcPr>
            <w:tcW w:type="dxa" w:w="137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E7E6E6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宋体"/>
                <w:b/>
                <w:color w:val="000000"/>
                <w:sz w:val="20"/>
              </w:rPr>
              <w:t>优先级</w:t>
            </w:r>
          </w:p>
        </w:tc>
        <w:tc>
          <w:tcPr>
            <w:tcW w:type="dxa" w:w="137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E7E6E6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宋体"/>
                <w:b/>
                <w:color w:val="000000"/>
                <w:sz w:val="20"/>
              </w:rPr>
              <w:t>负责人</w:t>
            </w:r>
          </w:p>
        </w:tc>
        <w:tc>
          <w:tcPr>
            <w:tcW w:type="dxa" w:w="137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E7E6E6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宋体"/>
                <w:b/>
                <w:color w:val="000000"/>
                <w:sz w:val="20"/>
              </w:rPr>
              <w:t>原规划规模</w:t>
            </w:r>
          </w:p>
        </w:tc>
        <w:tc>
          <w:tcPr>
            <w:tcW w:type="dxa" w:w="378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E7E6E6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宋体"/>
                <w:b/>
                <w:color w:val="000000"/>
                <w:sz w:val="20"/>
              </w:rPr>
              <w:t>核心验收标准</w:t>
            </w:r>
          </w:p>
        </w:tc>
      </w:tr>
      <w:tr>
        <w:trPr>
          <w:cantSplit/>
        </w:trPr>
        <w:tc>
          <w:tcPr>
            <w:tcW w:type="dxa" w:w="149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US01 查看项目成员</w:t>
            </w:r>
          </w:p>
        </w:tc>
        <w:tc>
          <w:tcPr>
            <w:tcW w:type="dxa" w:w="137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Must</w:t>
            </w:r>
          </w:p>
        </w:tc>
        <w:tc>
          <w:tcPr>
            <w:tcW w:type="dxa" w:w="137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彭佳成</w:t>
            </w:r>
          </w:p>
        </w:tc>
        <w:tc>
          <w:tcPr>
            <w:tcW w:type="dxa" w:w="137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小</w:t>
            </w:r>
          </w:p>
        </w:tc>
        <w:tc>
          <w:tcPr>
            <w:tcW w:type="dxa" w:w="378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显示四名成员及分工；成员 id 唯一；负责人选项与成员列表同源</w:t>
            </w:r>
          </w:p>
        </w:tc>
      </w:tr>
      <w:tr>
        <w:trPr>
          <w:cantSplit/>
        </w:trPr>
        <w:tc>
          <w:tcPr>
            <w:tcW w:type="dxa" w:w="149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US04 创建并分配任务</w:t>
            </w:r>
          </w:p>
        </w:tc>
        <w:tc>
          <w:tcPr>
            <w:tcW w:type="dxa" w:w="137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Must</w:t>
            </w:r>
          </w:p>
        </w:tc>
        <w:tc>
          <w:tcPr>
            <w:tcW w:type="dxa" w:w="137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朱传玺</w:t>
            </w:r>
          </w:p>
        </w:tc>
        <w:tc>
          <w:tcPr>
            <w:tcW w:type="dxa" w:w="137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中</w:t>
            </w:r>
          </w:p>
        </w:tc>
        <w:tc>
          <w:tcPr>
            <w:tcW w:type="dxa" w:w="378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标题非空、负责人有效；保存成功初始为 TODO；刷新后可读</w:t>
            </w:r>
          </w:p>
        </w:tc>
      </w:tr>
      <w:tr>
        <w:trPr>
          <w:cantSplit/>
        </w:trPr>
        <w:tc>
          <w:tcPr>
            <w:tcW w:type="dxa" w:w="149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US05 更新任务状态</w:t>
            </w:r>
          </w:p>
        </w:tc>
        <w:tc>
          <w:tcPr>
            <w:tcW w:type="dxa" w:w="137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Must</w:t>
            </w:r>
          </w:p>
        </w:tc>
        <w:tc>
          <w:tcPr>
            <w:tcW w:type="dxa" w:w="137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何健翔</w:t>
            </w:r>
          </w:p>
        </w:tc>
        <w:tc>
          <w:tcPr>
            <w:tcW w:type="dxa" w:w="137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小</w:t>
            </w:r>
          </w:p>
        </w:tc>
        <w:tc>
          <w:tcPr>
            <w:tcW w:type="dxa" w:w="378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支持 TODO、DOING、DONE；拒绝非法状态；刷新后保留状态</w:t>
            </w:r>
          </w:p>
        </w:tc>
      </w:tr>
    </w:tbl>
    <w:p>
      <w:pPr>
        <w:spacing w:after="0" w:line="80" w:lineRule="exact"/>
      </w:pPr>
      <w:r>
        <w:rPr>
          <w:rFonts w:ascii="Arial" w:hAnsi="Arial" w:eastAsia="宋体"/>
          <w:b w:val="0"/>
          <w:color w:val="000000"/>
          <w:sz w:val="2"/>
        </w:rPr>
      </w:r>
    </w:p>
    <w:p>
      <w:r>
        <w:t>“小、中”是原规划的相对规模，不是工时承诺。未留存原始工时估算、个人可用容量或具体承诺截止时间，不据提交时间推算计划完成率或超时比例。</w:t>
      </w:r>
    </w:p>
    <w:p>
      <w:pPr>
        <w:pStyle w:val="Heading1"/>
      </w:pPr>
      <w:r>
        <w:t>四 工作拆分与执行中的完善</w:t>
      </w:r>
    </w:p>
    <w:p>
      <w:r>
        <w:t>US01 的基础工作是建立 Member 的 id、name、role 契约，提供 GET /api/members，将成员姓名与分工显示在页面，并让 US04 负责人下拉框使用同一响应。后续 US01 增强提交 8109119 补充了重复 id 和非法字段校验、空列表、加载失败与重试、禁止无效分配、成员读取不改写数据等边界测试。这些是实施中的完善，不是未经记录的原计划承诺。</w:t>
      </w:r>
    </w:p>
    <w:p>
      <w:r>
        <w:t>US04 建立 Task 的 id、title、description、assigneeId、status 字段，createdAt 为实现中的辅助字段。创建接口校验非空标题与有效成员，分配自增 id，写入统一 JSON 数据文件；原生页面提供表单、任务列表和负责人选择。正常创建、非法输入、再次读取及持久化由五项测试支撑。工程基础与成员预置数据先供并行开发复用，再由 US01 完善成员能力。</w:t>
      </w:r>
    </w:p>
    <w:p>
      <w:r>
        <w:t>US05 统一 TODO、DOING、DONE 状态，提供合法性检查、状态更新领域逻辑、PATCH /api/tasks/:id/status 与页面切换，将状态写回同一数据文件。测试覆盖两个主要状态转换、非法状态和不存在任务。集成时移植状态逻辑而非保留分支中的独立存储，实现后续共享数据方案的一致性。</w:t>
      </w:r>
    </w:p>
    <w:p>
      <w:pPr>
        <w:pStyle w:val="Heading1"/>
      </w:pPr>
      <w:r>
        <w:t>五 最终采用的技术方案</w:t>
      </w:r>
    </w:p>
    <w:p>
      <w:r>
        <w:t>后端使用 Node.js 与 Express，前端为原生 HTML、CSS、JavaScript，持久化使用单个 JSON 文件；模块采用 CommonJS，测试使用 Node 内置 node:test 和 fetch。package.json 要求 Node.js 18 或以上，npm ci 安装锁定依赖，npm start 启动，npm test 执行三个故事的测试文件。</w:t>
      </w:r>
    </w:p>
    <w:p>
      <w:r>
        <w:t>该方案适合本地课程原型：无前端构建环节、无需数据库服务，接口和文件数据都能直接核验。createApp 可注入 dataFile，自动测试使用隔离临时文件，避免写入演示数据。单文件同步读写不提供生产级并发、事务或访问控制，这一取舍只适用于当前小范围演示，不代表后续上线方案已确定。</w:t>
      </w:r>
    </w:p>
    <w:p>
      <w:r>
        <w:t>Member 为 id、name、role；Task 为 id、title、description、assigneeId、status、createdAt。assigneeId 引用当前 Member.id。成员的 role 是人员分工说明，不是访问权限。三个故事共用 src/db.js 和同一数据文件，避免成员显示、负责人选项和任务归属各自维护一套数据。</w:t>
      </w:r>
    </w:p>
    <w:p>
      <w:pPr>
        <w:pStyle w:val="Heading1"/>
      </w:pPr>
      <w:r>
        <w:t>六 依赖与集成风险</w:t>
      </w:r>
    </w:p>
    <w:p>
      <w:r>
        <w:t>业务依赖为 US01 → US04 → US05。US04 需要真实成员才能分配，US05 依赖已创建任务及统一状态字段。并行开发可以先使用约定的预置数据，但集成必须统一模型、路由、页面和测试入口。</w:t>
      </w:r>
    </w:p>
    <w:p>
      <w:r>
        <w:t>实际 US04/US05 合并提交 79948a5 记录了 package.json、package-lock.json、src/app.js、任务路由、页面与 AI 记录等共享文件冲突。两者虽都使用 Node.js，存储位置、测试工具和接口落点仍不同。集成保留 US04 工程与公共数据层，将 US05 状态逻辑、接口和页面能力移入，最终统一 node:test。后续 US01 经 integration/us01-merge 预检后合入 develop，没有文本冲突；无文本冲突仍需验证成员来源和完整业务链路。</w:t>
      </w:r>
    </w:p>
    <w:p>
      <w:r>
        <w:t>AI 输出需要检查范围、字段和异常行为，不能因能启动或自动测试通过就视为完成人工审查。原始会话记录不完整、公共文件协调不够前置、集成时间未明确保留，均会增加追溯和交付风险。</w:t>
      </w:r>
    </w:p>
    <w:p>
      <w:pPr>
        <w:pStyle w:val="Heading1"/>
      </w:pPr>
      <w:r>
        <w:t>七 DoD 约定与后续执行核对</w:t>
      </w:r>
    </w:p>
    <w:p>
      <w:r>
        <w:t>完成定义包括功能能运行、故事达到验收标准、有基本测试、关键函数有必要注释、AI 代码经过人工 diff Review、集成后正常运行以及有可核验的运行证据。该约定来自仓库 DoD，不因事后整理降低要求。</w:t>
      </w:r>
    </w:p>
    <w:p>
      <w:r>
        <w:t>执行结果是三个故事已集成，自动测试 24/24 通过，2026年9月22日 DRI 确认最终人工 Demo 七项通过。AI 静态检查认为关键函数注释充分，已有测试日志、浏览器记录和截图。人工 diff 审查未见独立确认记录，因此不宣称所有正式 DoD 已通过；也未将增量合入 main。</w:t>
      </w:r>
    </w:p>
    <w:p>
      <w:pPr>
        <w:pStyle w:val="Heading1"/>
      </w:pPr>
      <w:r>
        <w:t>八 行动项与执行结果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52"/>
        <w:gridCol w:w="1639"/>
        <w:gridCol w:w="1639"/>
        <w:gridCol w:w="4280"/>
      </w:tblGrid>
      <w:tr>
        <w:trPr>
          <w:tblHeader/>
          <w:cantSplit/>
        </w:trPr>
        <w:tc>
          <w:tcPr>
            <w:tcW w:type="dxa" w:w="185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E7E6E6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宋体"/>
                <w:b/>
                <w:color w:val="000000"/>
                <w:sz w:val="20"/>
              </w:rPr>
              <w:t>行动项</w:t>
            </w:r>
          </w:p>
        </w:tc>
        <w:tc>
          <w:tcPr>
            <w:tcW w:type="dxa" w:w="163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E7E6E6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宋体"/>
                <w:b/>
                <w:color w:val="000000"/>
                <w:sz w:val="20"/>
              </w:rPr>
              <w:t>责任人</w:t>
            </w:r>
          </w:p>
        </w:tc>
        <w:tc>
          <w:tcPr>
            <w:tcW w:type="dxa" w:w="163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E7E6E6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宋体"/>
                <w:b/>
                <w:color w:val="000000"/>
                <w:sz w:val="20"/>
              </w:rPr>
              <w:t>完成时限记录</w:t>
            </w:r>
          </w:p>
        </w:tc>
        <w:tc>
          <w:tcPr>
            <w:tcW w:type="dxa" w:w="428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E7E6E6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宋体"/>
                <w:b/>
                <w:color w:val="000000"/>
                <w:sz w:val="20"/>
              </w:rPr>
              <w:t>后续执行结果</w:t>
            </w:r>
          </w:p>
        </w:tc>
      </w:tr>
      <w:tr>
        <w:trPr>
          <w:cantSplit/>
        </w:trPr>
        <w:tc>
          <w:tcPr>
            <w:tcW w:type="dxa" w:w="185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完成成员查看与分配数据契约</w:t>
            </w:r>
          </w:p>
        </w:tc>
        <w:tc>
          <w:tcPr>
            <w:tcW w:type="dxa" w:w="163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彭佳成</w:t>
            </w:r>
          </w:p>
        </w:tc>
        <w:tc>
          <w:tcPr>
            <w:tcW w:type="dxa" w:w="163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未留存具体承诺时限</w:t>
            </w:r>
          </w:p>
        </w:tc>
        <w:tc>
          <w:tcPr>
            <w:tcW w:type="dxa" w:w="428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8109119 实现，US01 15/15 通过</w:t>
            </w:r>
          </w:p>
        </w:tc>
      </w:tr>
      <w:tr>
        <w:trPr>
          <w:cantSplit/>
        </w:trPr>
        <w:tc>
          <w:tcPr>
            <w:tcW w:type="dxa" w:w="185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完成工程基础及任务创建</w:t>
            </w:r>
          </w:p>
        </w:tc>
        <w:tc>
          <w:tcPr>
            <w:tcW w:type="dxa" w:w="163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朱传玺</w:t>
            </w:r>
          </w:p>
        </w:tc>
        <w:tc>
          <w:tcPr>
            <w:tcW w:type="dxa" w:w="163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未留存具体承诺时限</w:t>
            </w:r>
          </w:p>
        </w:tc>
        <w:tc>
          <w:tcPr>
            <w:tcW w:type="dxa" w:w="428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f143bd5、40b9b4e；US04 5/5 通过</w:t>
            </w:r>
          </w:p>
        </w:tc>
      </w:tr>
      <w:tr>
        <w:trPr>
          <w:cantSplit/>
        </w:trPr>
        <w:tc>
          <w:tcPr>
            <w:tcW w:type="dxa" w:w="185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完成状态更新及非法状态校验</w:t>
            </w:r>
          </w:p>
        </w:tc>
        <w:tc>
          <w:tcPr>
            <w:tcW w:type="dxa" w:w="163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何健翔</w:t>
            </w:r>
          </w:p>
        </w:tc>
        <w:tc>
          <w:tcPr>
            <w:tcW w:type="dxa" w:w="163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未留存具体承诺时限</w:t>
            </w:r>
          </w:p>
        </w:tc>
        <w:tc>
          <w:tcPr>
            <w:tcW w:type="dxa" w:w="428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8f74544、f6cad04；US05 集成后 4/4 通过</w:t>
            </w:r>
          </w:p>
        </w:tc>
      </w:tr>
      <w:tr>
        <w:trPr>
          <w:cantSplit/>
        </w:trPr>
        <w:tc>
          <w:tcPr>
            <w:tcW w:type="dxa" w:w="185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协调共享文件与全量集成</w:t>
            </w:r>
          </w:p>
        </w:tc>
        <w:tc>
          <w:tcPr>
            <w:tcW w:type="dxa" w:w="163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杨浩伟</w:t>
            </w:r>
          </w:p>
        </w:tc>
        <w:tc>
          <w:tcPr>
            <w:tcW w:type="dxa" w:w="163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未留存具体承诺时限</w:t>
            </w:r>
          </w:p>
        </w:tc>
        <w:tc>
          <w:tcPr>
            <w:tcW w:type="dxa" w:w="428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79948a5、cc7c937、34b3df7；develop 已集成</w:t>
            </w:r>
          </w:p>
        </w:tc>
      </w:tr>
      <w:tr>
        <w:trPr>
          <w:cantSplit/>
        </w:trPr>
        <w:tc>
          <w:tcPr>
            <w:tcW w:type="dxa" w:w="185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完成最终人工链路演示</w:t>
            </w:r>
          </w:p>
        </w:tc>
        <w:tc>
          <w:tcPr>
            <w:tcW w:type="dxa" w:w="163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杨浩伟</w:t>
            </w:r>
          </w:p>
        </w:tc>
        <w:tc>
          <w:tcPr>
            <w:tcW w:type="dxa" w:w="163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未留存具体承诺时限</w:t>
            </w:r>
          </w:p>
        </w:tc>
        <w:tc>
          <w:tcPr>
            <w:tcW w:type="dxa" w:w="428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2026年9月22日用户确认七项通过</w:t>
            </w:r>
          </w:p>
        </w:tc>
      </w:tr>
    </w:tbl>
    <w:p>
      <w:pPr>
        <w:spacing w:after="0" w:line="80" w:lineRule="exact"/>
      </w:pPr>
      <w:r>
        <w:rPr>
          <w:rFonts w:ascii="Arial" w:hAnsi="Arial" w:eastAsia="宋体"/>
          <w:b w:val="0"/>
          <w:color w:val="000000"/>
          <w:sz w:val="2"/>
        </w:rPr>
      </w:r>
    </w:p>
    <w:p>
      <w:r>
        <w:t>尚无独立证明的事项是人工 diff 审查完成情况与原始 AI 会话完整性。下一轮应在 Feature 合并前同步保存审查与会话证据；这是本次追溯分析形成的建议，不补写成当时已经达成的共识。</w:t>
      </w:r>
    </w:p>
    <w:p>
      <w:pPr>
        <w:pStyle w:val="Heading1"/>
      </w:pPr>
      <w:r>
        <w:t>九 检索依据</w:t>
      </w:r>
    </w:p>
    <w:p>
      <w:r>
        <w:t>范围与规模依据 experiment1-reference 中的正式项目规划，该目录仅在本地参考，未复制、修改或提交。代码依据 src、public、test、package.json 与 README。Git 依据初始化 dfd7b81、US04/US05 集成 442ee8e/79948a5、US01 基线 6906e49 与集成 cc7c937/34b3df7/6f96b9d。验证依据 docs/evidence/us01-tests.tap、us01-browser-results.json、us01-verification.md，以及 docs/evidence/sprint1-final-test-20261008.txt 的本次复跑。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b w:val="0"/>
        <w:color w:val="000000"/>
        <w:sz w:val="18"/>
      </w:rPr>
      <w:t xml:space="preserve">第 </w:t>
    </w:r>
    <w:fldSimple w:instr="PAGE"/>
    <w:r>
      <w:rPr>
        <w:rFonts w:ascii="Arial" w:hAnsi="Arial" w:eastAsia="宋体"/>
        <w:b w:val="0"/>
        <w:color w:val="00000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80" w:before="0" w:line="276" w:lineRule="auto"/>
    </w:pPr>
    <w:rPr>
      <w:rFonts w:ascii="Arial" w:hAnsi="Arial" w:eastAsia="宋体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60" w:after="120" w:line="276" w:lineRule="auto"/>
      <w:outlineLvl w:val="0"/>
    </w:pPr>
    <w:rPr>
      <w:rFonts w:ascii="Arial" w:hAnsi="Arial" w:eastAsia="黑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60" w:after="120" w:line="276" w:lineRule="auto"/>
      <w:outlineLvl w:val="1"/>
    </w:pPr>
    <w:rPr>
      <w:rFonts w:ascii="Arial" w:hAnsi="Arial" w:eastAsia="黑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20" w:line="276" w:lineRule="auto" w:before="0"/>
      <w:contextualSpacing/>
    </w:pPr>
    <w:rPr>
      <w:rFonts w:ascii="Arial" w:hAnsi="Arial" w:eastAsia="黑体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第7组 Sprint1计划会会议纪要</dc:title>
  <dc:subject>软件项目管理实验二 Sprint 1 正式追溯交付</dc:subject>
  <dc:creator>第7组 爱管理项目团队</dc:creator>
  <cp:keywords/>
  <dc:description>generated by python-docx</dc:description>
  <cp:lastModifiedBy>第7组 爱管理项目团队</cp:lastModifiedBy>
  <cp:revision>1</cp:revision>
  <dcterms:created xsi:type="dcterms:W3CDTF">2013-12-23T23:15:00Z</dcterms:created>
  <dcterms:modified xsi:type="dcterms:W3CDTF">2013-12-23T23:15:00Z</dcterms:modified>
  <cp:category/>
</cp:coreProperties>
</file>