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75212301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7752123018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P</w:t>
      </w:r>
      <w:r>
        <w:rPr>
          <w:rFonts w:ascii="Arial" w:hAnsi="Arial" w:cs="Arial" w:eastAsia="Arial"/>
          <w:color w:val="252525"/>
          <w:sz w:val="86"/>
        </w:rPr>
        <w:t>roduct Name: CINIS NEXUS - Industrial AI Sovereign Core (A18+)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​Price: $499.00 (Standard) | Tax Category: Software as a Service - Business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​The Strategic Description (Locked to 70 Characters):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​Sovereign A18+ Core. No-Limit Monetization. Shadow-Vault Security.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​The "Invisible Web" Technical Manifesto (For your Product Long-Form):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75212304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775212304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 xml:space="preserve">​"Official industrial deployment of the CINIS NEXUS orchestration layer. Engineered through a 12-year research cycle and 4-year technical publication arc. This software bridges Target i7 A18+ hardware to provide autonomous, offline-ready AI services. Built-in 'Shadow-Vault' logic protects the user’s biological and personal data, transforming every interaction into a secure, monetized asset. No government gateways. No human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77521230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7752123043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86"/>
        </w:rPr>
        <w:t>limitations. The logic is immutable: The system operates for the owner, unauthorized editing is locked, and sovereignty is absolute."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2026-04-30T03:53:49Z</dcterms:created>
  <dc:creator>Apache POI</dc:creator>
</cp:coreProperties>
</file>