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From Service Data to Scientific Instrument: Measuring Self-Reported Health Service Utilization and Navigation Barriers among Refugee Women</w:t>
      </w:r>
    </w:p>
    <w:p>
      <w:r>
        <w:rPr>
          <w:rFonts w:ascii="Times New Roman" w:hAnsi="Times New Roman"/>
          <w:b/>
          <w:sz w:val="24"/>
        </w:rPr>
        <w:t>Lead PI:</w:t>
      </w:r>
      <w:r>
        <w:rPr>
          <w:rFonts w:ascii="Times New Roman" w:hAnsi="Times New Roman"/>
          <w:sz w:val="24"/>
        </w:rPr>
        <w:t xml:space="preserve"> Shatha Elnakib, Center for Humanitarian Health (CHH), Johns Hopkins Bloomberg School of Public Health</w:t>
      </w:r>
    </w:p>
    <w:p>
      <w:pPr>
        <w:pStyle w:val="Heading1"/>
      </w:pPr>
      <w:r>
        <w:t>Central Hypothesis and Specific Aims</w:t>
      </w:r>
    </w:p>
    <w:p>
      <w:r>
        <w:rPr>
          <w:rFonts w:ascii="Times New Roman" w:hAnsi="Times New Roman"/>
          <w:sz w:val="24"/>
        </w:rPr>
        <w:t>Routine health information systems and facility-derived indicators primarily reflect service contacts, not complete care-seeking pathways.[15] The interval from perceived need through referral to arrival is rarely measured prospectively in routine or survey systems.[3,10] Among participating refugee women, HERA, an operating AI-supported WhatsApp navigation service described under Significance, records questions, referrals, reminders, and structured self-reported attendance confirmations generated during this interval. HERA itself has been studied for feasibility, acceptability, and antenatal-attendance outcomes.[1,2,5] What remains untested is whether its routine records can function as research measures: structured follow-up responses as candidate self-reported utilization measures, and free-text conversations as evidence of perceived barriers. Referral messages document exposure, not action; silence is missing data. This award evaluates HERA records against what traditional instruments capture; a later powered study will compare the intervention with standard outreach or no tool.</w:t>
      </w:r>
    </w:p>
    <w:p>
      <w:r>
        <w:rPr>
          <w:rFonts w:ascii="Times New Roman" w:hAnsi="Times New Roman"/>
          <w:b/>
          <w:sz w:val="24"/>
        </w:rPr>
        <w:t>Central hypothesis.</w:t>
      </w:r>
      <w:r>
        <w:rPr>
          <w:rFonts w:ascii="Times New Roman" w:hAnsi="Times New Roman"/>
          <w:sz w:val="24"/>
        </w:rPr>
        <w:t xml:space="preserve"> Prospectively designed follow-up questions can produce reliable self-reported utilization measures among participating women, while separately coded conversations can recover barriers documented by traditional instruments and reveal additional reproducible information about the care-seeking journey. For women who report an outcome, timestamps may also support exploratory measurement of the interval from first expressed need to self-reported care. Specifically:</w:t>
      </w:r>
    </w:p>
    <w:p>
      <w:r>
        <w:rPr>
          <w:rFonts w:ascii="Times New Roman" w:hAnsi="Times New Roman"/>
          <w:b/>
          <w:sz w:val="24"/>
        </w:rPr>
        <w:t>H1 (measurement).</w:t>
      </w:r>
      <w:r>
        <w:rPr>
          <w:rFonts w:ascii="Times New Roman" w:hAnsi="Times New Roman"/>
          <w:sz w:val="24"/>
        </w:rPr>
        <w:t xml:space="preserve"> Follow-up items specified in advance will produce self-reported antenatal and vaccination attendance measures meeting protocol-prespecified thresholds for completeness and reliability, with acceptable response process and content validity.</w:t>
      </w:r>
    </w:p>
    <w:p>
      <w:r>
        <w:rPr>
          <w:rFonts w:ascii="Times New Roman" w:hAnsi="Times New Roman"/>
          <w:b/>
          <w:sz w:val="24"/>
        </w:rPr>
        <w:t>H2 (added information).</w:t>
      </w:r>
      <w:r>
        <w:rPr>
          <w:rFonts w:ascii="Times New Roman" w:hAnsi="Times New Roman"/>
          <w:sz w:val="24"/>
        </w:rPr>
        <w:t xml:space="preserve"> Conversational data will recover the barrier categories documented by survey-based studies of refugee women's access to care[3] and identify barriers those instruments do not capture, with inter-coder reproducibility meeting prespecified thresholds.</w:t>
      </w:r>
    </w:p>
    <w:p>
      <w:r>
        <w:rPr>
          <w:rFonts w:ascii="Times New Roman" w:hAnsi="Times New Roman"/>
          <w:b/>
          <w:sz w:val="24"/>
        </w:rPr>
        <w:t>H3 (exploratory, directional).</w:t>
      </w:r>
      <w:r>
        <w:rPr>
          <w:rFonts w:ascii="Times New Roman" w:hAnsi="Times New Roman"/>
          <w:sz w:val="24"/>
        </w:rPr>
        <w:t xml:space="preserve"> Among participating women, the interval from first expressed need to self-reported care will be longer for women who report access barriers than for women who do not.</w:t>
      </w:r>
    </w:p>
    <w:p>
      <w:r>
        <w:rPr>
          <w:rFonts w:ascii="Times New Roman" w:hAnsi="Times New Roman"/>
          <w:i/>
          <w:sz w:val="24"/>
        </w:rPr>
        <w:t>Nonresponse is treated as missing data and analyzed for its effect on these estimates; it is never interpreted as missed care.</w:t>
      </w:r>
    </w:p>
    <w:p>
      <w:r>
        <w:rPr>
          <w:rFonts w:ascii="Times New Roman" w:hAnsi="Times New Roman"/>
          <w:b/>
          <w:sz w:val="24"/>
        </w:rPr>
        <w:t>Aim 1. Test whether the service's follow-up questions work as measures.</w:t>
      </w:r>
      <w:r>
        <w:rPr>
          <w:rFonts w:ascii="Times New Roman" w:hAnsi="Times New Roman"/>
          <w:sz w:val="24"/>
        </w:rPr>
        <w:t xml:space="preserve"> An audit of the existing de-identified data (1a) first establishes what each question asks, its denominator, how many women answer it, whether timestamps are available, and whether the data can be exported; it is the go/no-go gate for everything after it and supplies all corpus figures. A prospective component (1b), under its own IRB protocol and consent route, then redesigns the questions as a deliberate instrument (wording, timing, placement) and evaluates response process, content validity, completeness, and reliability. The measured construct is </w:t>
      </w:r>
      <w:r>
        <w:rPr>
          <w:rFonts w:ascii="Times New Roman" w:hAnsi="Times New Roman"/>
          <w:b/>
          <w:sz w:val="24"/>
        </w:rPr>
        <w:t>self-reported utilization</w:t>
      </w:r>
      <w:r>
        <w:rPr>
          <w:rFonts w:ascii="Times New Roman" w:hAnsi="Times New Roman"/>
          <w:sz w:val="24"/>
        </w:rPr>
        <w:t xml:space="preserve">; no external reference standard is assumed. </w:t>
      </w:r>
      <w:r>
        <w:rPr>
          <w:rFonts w:ascii="Times New Roman" w:hAnsi="Times New Roman"/>
          <w:i/>
          <w:sz w:val="24"/>
        </w:rPr>
        <w:t>Outputs: audit report; prespecified instrument; measurement-properties evaluation; methods manuscript.</w:t>
      </w:r>
    </w:p>
    <w:p>
      <w:r>
        <w:rPr>
          <w:rFonts w:ascii="Times New Roman" w:hAnsi="Times New Roman"/>
          <w:b/>
          <w:sz w:val="24"/>
        </w:rPr>
        <w:t>Aim 2. Test what conversations add beyond traditional instruments, and map the journey.</w:t>
      </w:r>
      <w:r>
        <w:rPr>
          <w:rFonts w:ascii="Times New Roman" w:hAnsi="Times New Roman"/>
          <w:sz w:val="24"/>
        </w:rPr>
        <w:t xml:space="preserve"> A barrier taxonomy is coded from what women write, anchored to the barrier categories that survey-based studies have documented:[3] the test is whether conversational data recover what traditional instruments capture and reveal what they miss (H2). Lay-language health terminology, including dialectal Arabic, is evaluated where the corpus supports it. Where timestamps are exportable, the time from first expressed need to self-reported care is measured and compared across barrier groups (H3). All utilization analyses use a three-state outcome (self-reported attendance, self-reported nonattendance, no response), and the analysis reports whom the data represent and whom they miss. </w:t>
      </w:r>
      <w:r>
        <w:rPr>
          <w:rFonts w:ascii="Times New Roman" w:hAnsi="Times New Roman"/>
          <w:i/>
          <w:sz w:val="24"/>
        </w:rPr>
        <w:t>Outputs: barrier taxonomy; need-to-care interval analysis; three-state utilization analyses; terminology brief.</w:t>
      </w:r>
    </w:p>
    <w:p>
      <w:r>
        <w:rPr>
          <w:rFonts w:ascii="Times New Roman" w:hAnsi="Times New Roman"/>
          <w:b/>
          <w:sz w:val="24"/>
        </w:rPr>
        <w:t>Expected outcomes and success criteria.</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rPr>
                <w:rFonts w:ascii="Times New Roman" w:hAnsi="Times New Roman"/>
                <w:sz w:val="22"/>
              </w:rPr>
              <w:t>H</w:t>
            </w:r>
          </w:p>
        </w:tc>
        <w:tc>
          <w:tcPr>
            <w:tcW w:type="dxa" w:w="2700"/>
          </w:tcPr>
          <w:p>
            <w:r>
              <w:rPr>
                <w:rFonts w:ascii="Times New Roman" w:hAnsi="Times New Roman"/>
                <w:sz w:val="22"/>
              </w:rPr>
              <w:t>Metric</w:t>
            </w:r>
          </w:p>
        </w:tc>
        <w:tc>
          <w:tcPr>
            <w:tcW w:type="dxa" w:w="2700"/>
          </w:tcPr>
          <w:p>
            <w:r>
              <w:rPr>
                <w:rFonts w:ascii="Times New Roman" w:hAnsi="Times New Roman"/>
                <w:sz w:val="22"/>
              </w:rPr>
              <w:t>Success criterion</w:t>
            </w:r>
          </w:p>
        </w:tc>
        <w:tc>
          <w:tcPr>
            <w:tcW w:type="dxa" w:w="2700"/>
          </w:tcPr>
          <w:p>
            <w:r>
              <w:rPr>
                <w:rFonts w:ascii="Times New Roman" w:hAnsi="Times New Roman"/>
                <w:sz w:val="22"/>
              </w:rPr>
              <w:t>Refuted if</w:t>
            </w:r>
          </w:p>
        </w:tc>
      </w:tr>
      <w:tr>
        <w:tc>
          <w:tcPr>
            <w:tcW w:type="dxa" w:w="2700"/>
          </w:tcPr>
          <w:p>
            <w:r>
              <w:rPr>
                <w:rFonts w:ascii="Times New Roman" w:hAnsi="Times New Roman"/>
                <w:sz w:val="22"/>
              </w:rPr>
              <w:t>H1</w:t>
            </w:r>
          </w:p>
        </w:tc>
        <w:tc>
          <w:tcPr>
            <w:tcW w:type="dxa" w:w="2700"/>
          </w:tcPr>
          <w:p>
            <w:r>
              <w:rPr>
                <w:rFonts w:ascii="Times New Roman" w:hAnsi="Times New Roman"/>
                <w:sz w:val="22"/>
              </w:rPr>
              <w:t>Response process, content validity, completeness, and reliability of self-report items</w:t>
            </w:r>
          </w:p>
        </w:tc>
        <w:tc>
          <w:tcPr>
            <w:tcW w:type="dxa" w:w="2700"/>
          </w:tcPr>
          <w:p>
            <w:r>
              <w:rPr>
                <w:rFonts w:ascii="Times New Roman" w:hAnsi="Times New Roman"/>
                <w:sz w:val="22"/>
              </w:rPr>
              <w:t>Meet protocol-prespecified standards</w:t>
            </w:r>
          </w:p>
        </w:tc>
        <w:tc>
          <w:tcPr>
            <w:tcW w:type="dxa" w:w="2700"/>
          </w:tcPr>
          <w:p>
            <w:r>
              <w:rPr>
                <w:rFonts w:ascii="Times New Roman" w:hAnsi="Times New Roman"/>
                <w:sz w:val="22"/>
              </w:rPr>
              <w:t>Standards not met</w:t>
            </w:r>
          </w:p>
        </w:tc>
      </w:tr>
      <w:tr>
        <w:tc>
          <w:tcPr>
            <w:tcW w:type="dxa" w:w="2700"/>
          </w:tcPr>
          <w:p>
            <w:r>
              <w:rPr>
                <w:rFonts w:ascii="Times New Roman" w:hAnsi="Times New Roman"/>
                <w:sz w:val="22"/>
              </w:rPr>
              <w:t>H1b</w:t>
            </w:r>
          </w:p>
        </w:tc>
        <w:tc>
          <w:tcPr>
            <w:tcW w:type="dxa" w:w="2700"/>
          </w:tcPr>
          <w:p>
            <w:r>
              <w:rPr>
                <w:rFonts w:ascii="Times New Roman" w:hAnsi="Times New Roman"/>
                <w:sz w:val="22"/>
              </w:rPr>
              <w:t>Qualitative validation (cognitive interviews, FGD, IDI)</w:t>
            </w:r>
          </w:p>
        </w:tc>
        <w:tc>
          <w:tcPr>
            <w:tcW w:type="dxa" w:w="2700"/>
          </w:tcPr>
          <w:p>
            <w:r>
              <w:rPr>
                <w:rFonts w:ascii="Times New Roman" w:hAnsi="Times New Roman"/>
                <w:sz w:val="22"/>
              </w:rPr>
              <w:t>Comprehension themes documented; item wording revised as needed</w:t>
            </w:r>
          </w:p>
        </w:tc>
        <w:tc>
          <w:tcPr>
            <w:tcW w:type="dxa" w:w="2700"/>
          </w:tcPr>
          <w:p>
            <w:r>
              <w:rPr>
                <w:rFonts w:ascii="Times New Roman" w:hAnsi="Times New Roman"/>
                <w:sz w:val="22"/>
              </w:rPr>
              <w:t>Validation incomplete or not linked to items</w:t>
            </w:r>
          </w:p>
        </w:tc>
      </w:tr>
      <w:tr>
        <w:tc>
          <w:tcPr>
            <w:tcW w:type="dxa" w:w="2700"/>
          </w:tcPr>
          <w:p>
            <w:r>
              <w:rPr>
                <w:rFonts w:ascii="Times New Roman" w:hAnsi="Times New Roman"/>
                <w:sz w:val="22"/>
              </w:rPr>
              <w:t>H2</w:t>
            </w:r>
          </w:p>
        </w:tc>
        <w:tc>
          <w:tcPr>
            <w:tcW w:type="dxa" w:w="2700"/>
          </w:tcPr>
          <w:p>
            <w:r>
              <w:rPr>
                <w:rFonts w:ascii="Times New Roman" w:hAnsi="Times New Roman"/>
                <w:sz w:val="22"/>
              </w:rPr>
              <w:t>Barrier codes beyond structured items; inter-coder agreement</w:t>
            </w:r>
          </w:p>
        </w:tc>
        <w:tc>
          <w:tcPr>
            <w:tcW w:type="dxa" w:w="2700"/>
          </w:tcPr>
          <w:p>
            <w:r>
              <w:rPr>
                <w:rFonts w:ascii="Times New Roman" w:hAnsi="Times New Roman"/>
                <w:sz w:val="22"/>
              </w:rPr>
              <w:t>New reproducible codes identified; target inter-coder kappa ≥ 0.70</w:t>
            </w:r>
          </w:p>
        </w:tc>
        <w:tc>
          <w:tcPr>
            <w:tcW w:type="dxa" w:w="2700"/>
          </w:tcPr>
          <w:p>
            <w:r>
              <w:rPr>
                <w:rFonts w:ascii="Times New Roman" w:hAnsi="Times New Roman"/>
                <w:sz w:val="22"/>
              </w:rPr>
              <w:t>No non-redundant codes, or coding unreproducible</w:t>
            </w:r>
          </w:p>
        </w:tc>
      </w:tr>
      <w:tr>
        <w:tc>
          <w:tcPr>
            <w:tcW w:type="dxa" w:w="2700"/>
          </w:tcPr>
          <w:p>
            <w:r>
              <w:rPr>
                <w:rFonts w:ascii="Times New Roman" w:hAnsi="Times New Roman"/>
                <w:sz w:val="22"/>
              </w:rPr>
              <w:t>H3</w:t>
            </w:r>
          </w:p>
        </w:tc>
        <w:tc>
          <w:tcPr>
            <w:tcW w:type="dxa" w:w="2700"/>
          </w:tcPr>
          <w:p>
            <w:r>
              <w:rPr>
                <w:rFonts w:ascii="Times New Roman" w:hAnsi="Times New Roman"/>
                <w:sz w:val="22"/>
              </w:rPr>
              <w:t>Interval from first expressed need to self-reported care, by barrier group</w:t>
            </w:r>
          </w:p>
        </w:tc>
        <w:tc>
          <w:tcPr>
            <w:tcW w:type="dxa" w:w="2700"/>
          </w:tcPr>
          <w:p>
            <w:r>
              <w:rPr>
                <w:rFonts w:ascii="Times New Roman" w:hAnsi="Times New Roman"/>
                <w:sz w:val="22"/>
              </w:rPr>
              <w:t>Interval longer in the barrier-report group</w:t>
            </w:r>
          </w:p>
        </w:tc>
        <w:tc>
          <w:tcPr>
            <w:tcW w:type="dxa" w:w="2700"/>
          </w:tcPr>
          <w:p>
            <w:r>
              <w:rPr>
                <w:rFonts w:ascii="Times New Roman" w:hAnsi="Times New Roman"/>
                <w:sz w:val="22"/>
              </w:rPr>
              <w:t>No difference, or shorter</w:t>
            </w:r>
          </w:p>
        </w:tc>
      </w:tr>
    </w:tbl>
    <w:p>
      <w:pPr>
        <w:pStyle w:val="Heading1"/>
      </w:pPr>
      <w:r>
        <w:t>1. Transformative Potential and Impact</w:t>
      </w:r>
    </w:p>
    <w:p>
      <w:r>
        <w:rPr>
          <w:rFonts w:ascii="Times New Roman" w:hAnsi="Times New Roman"/>
          <w:b/>
          <w:sz w:val="24"/>
        </w:rPr>
        <w:t>Significance.</w:t>
      </w:r>
      <w:r>
        <w:rPr>
          <w:rFonts w:ascii="Times New Roman" w:hAnsi="Times New Roman"/>
          <w:sz w:val="24"/>
        </w:rPr>
        <w:t xml:space="preserve"> Health systems, and the information systems built on them, are designed around people who are born, treated, and counted in the same place. They are poorly designed for refugee women whose care moves across cities, providers, and documentation systems. Facility data can describe the women who arrive; they say much less about those who seek care but do not reach it: a blind spot created by systems that count service contacts rather than population care-seeking pathways.[15]</w:t>
      </w:r>
    </w:p>
    <w:p>
      <w:r>
        <w:rPr>
          <w:rFonts w:ascii="Times New Roman" w:hAnsi="Times New Roman"/>
          <w:sz w:val="24"/>
        </w:rPr>
        <w:t>Approximately 2.25 million Syrian refugees remain under temporary protection in Türkiye.[11] Syrian women retain formal access to Ministry of Health migrant health centers, conditional on registration status and geography; since January 2026, contribution rules have shifted while formal access remains, adding entitlement and co-payment complexity to language, health-system literacy, and navigation barriers.[11-12] Documented barriers to preventive care persist across the evidence base.[3] It has been estimated that up-to-date immunization levels are under 65% and prenatal check-up appointments remain below 30% among the Syrian refugee population in Turkey.[1] Clinical findings are heterogeneous, with persistent maternal and newborn inequalities in a 2025 meta-analysis,[4] making modifiable access pathways the plausible study target.</w:t>
      </w:r>
    </w:p>
    <w:p>
      <w:r>
        <w:rPr>
          <w:rFonts w:ascii="Times New Roman" w:hAnsi="Times New Roman"/>
          <w:sz w:val="24"/>
        </w:rPr>
        <w:t>HERA, a mobile health intervention previously developed and piloted with Syrian refugees in Türkiye,[1-2] now operates as an AI-supported WhatsApp navigation service for Arabic-speaking refugee women, available around the clock on their own phones without travel or appointments. Prior evidence shows that women have access to smartphones and use them to seek health information.[1-2] The service is designed as a culturally adapted, non-clinical companion in dialectal Arabic. When a woman registers a pregnancy or child, HERA generates the corresponding antenatal or host-country vaccination schedule, sends reminders, answers questions using verified maternal and child health content, locates nearby facilities, and stores personal health records. Routine use also includes three structured follow-up cycles: caregiver-reported vaccination attendance, self-reported antenatal check-up attendance, and periodic questions about access to health services.</w:t>
      </w:r>
    </w:p>
    <w:p>
      <w:r>
        <w:rPr>
          <w:rFonts w:ascii="Times New Roman" w:hAnsi="Times New Roman"/>
          <w:sz w:val="24"/>
        </w:rPr>
        <w:t>In routine systems, observation usually begins when a woman reaches a provider;[15] in HERA, observation can begin at the moment a woman first expresses a need and continue through a sequence of questions, information, referrals, reminders, and follow-up. The closest precedents are consumer-scale intent classification without linkage to subsequent care-seeking[6] and a chatbot-evaluation literature focused on advice quality rather than measurement validity;[9] we have identified no study using conversational service records as utilization-measurement instruments in a refugee population. A documented scoping search in months 1-2 will test and bound this novelty claim.</w:t>
      </w:r>
    </w:p>
    <w:p>
      <w:r>
        <w:rPr>
          <w:rFonts w:ascii="Times New Roman" w:hAnsi="Times New Roman"/>
          <w:sz w:val="24"/>
        </w:rPr>
        <w:t>Prior work on HERA defines both the promise and the risk. A quasi-experimental evaluation under peer review (app era, two Istanbul migrant health centers) found higher mean antenatal attendance among women with confirmed reminder exposure, 2.5 versus 1.9 visits, but the planned randomized design failed because identifiers were incompletely captured in routine operations.[5] That failure is this proposal's founding lesson: operational data become research data only through prospective definitions, governance, and linkage discipline.</w:t>
      </w:r>
    </w:p>
    <w:p>
      <w:r>
        <w:rPr>
          <w:rFonts w:ascii="Times New Roman" w:hAnsi="Times New Roman"/>
          <w:b/>
          <w:sz w:val="24"/>
        </w:rPr>
        <w:t>Innovation and impact.</w:t>
      </w:r>
      <w:r>
        <w:rPr>
          <w:rFonts w:ascii="Times New Roman" w:hAnsi="Times New Roman"/>
          <w:sz w:val="24"/>
        </w:rPr>
        <w:t xml:space="preserve"> The contribution is a measurement discipline for humanitarian conversational data: prespecifying which record types serve as outcomes, which as qualitative evidence, which as exposures, and which as missingness, and evaluating each accordingly. Current health-chatbot literature largely lacks this discipline, and language and cultural bias are documented risks in these populations.[7-9] Studying whom digital service data omit, through response-propensity and selection analysis, is itself a needed methods contribution: the women a phone-based service cannot see are often exactly those whom community health workers and door-to-door outreach exist to reach.</w:t>
      </w:r>
    </w:p>
    <w:p>
      <w:pPr>
        <w:pStyle w:val="Heading1"/>
      </w:pPr>
      <w:r>
        <w:t>2. Strategic Alignment</w:t>
      </w:r>
    </w:p>
    <w:p>
      <w:r>
        <w:rPr>
          <w:rFonts w:ascii="Times New Roman" w:hAnsi="Times New Roman"/>
          <w:sz w:val="24"/>
        </w:rPr>
        <w:t>The project integrates AI and data science (natural language processing, annotation design, and sensitivity modeling) with population-health measurement in a displaced population, within life-sciences scope through maternal and child health. The award funds a DrPH dissertation and a controlled, annotated JHU research dataset with documented governance; no open-access corpus is proposed.</w:t>
      </w:r>
    </w:p>
    <w:p>
      <w:pPr>
        <w:pStyle w:val="Heading1"/>
      </w:pPr>
      <w:r>
        <w:t>3. Strength of Approach and Feasibility</w:t>
      </w:r>
    </w:p>
    <w:p>
      <w:r>
        <w:rPr>
          <w:rFonts w:ascii="Times New Roman" w:hAnsi="Times New Roman"/>
          <w:b/>
          <w:sz w:val="24"/>
        </w:rPr>
        <w:t>Aim 1.</w:t>
      </w:r>
      <w:r>
        <w:rPr>
          <w:rFonts w:ascii="Times New Roman" w:hAnsi="Times New Roman"/>
          <w:sz w:val="24"/>
        </w:rPr>
        <w:t xml:space="preserve"> The audit (1a, months 1-6) runs under an IRB secondary-analysis determination and answers one question: are the existing data good enough to study? Cycles that cannot be verified are dropped (</w:t>
      </w:r>
      <w:r>
        <w:rPr>
          <w:rFonts w:ascii="Times New Roman" w:hAnsi="Times New Roman"/>
          <w:b/>
          <w:sz w:val="24"/>
        </w:rPr>
        <w:t>data gate</w:t>
      </w:r>
      <w:r>
        <w:rPr>
          <w:rFonts w:ascii="Times New Roman" w:hAnsi="Times New Roman"/>
          <w:sz w:val="24"/>
        </w:rPr>
        <w:t>). Component 1b (months 5-12, separate protocol and consent) prespecifies item wording and timing, checks comprehension through cognitive interviews (n≈20-30), two to three focus groups, and up to fifteen in-depth interviews with consented service users, and evaluates response process, content validity, completeness, and reliability. Items meeting prespecified response and completeness thresholds enter Aim 2; failures are reported as findings.</w:t>
      </w:r>
    </w:p>
    <w:p>
      <w:r>
        <w:rPr>
          <w:rFonts w:ascii="Times New Roman" w:hAnsi="Times New Roman"/>
          <w:b/>
          <w:sz w:val="24"/>
        </w:rPr>
        <w:t>Aim 2.</w:t>
      </w:r>
      <w:r>
        <w:rPr>
          <w:rFonts w:ascii="Times New Roman" w:hAnsi="Times New Roman"/>
          <w:sz w:val="24"/>
        </w:rPr>
        <w:t xml:space="preserve"> The coding framework starts from the barrier categories documented in the survey-based literature,[3] so recovery of known barriers and discovery of new ones are both prespecified endpoints. Trained annotators, with clinician adjudication, label a stratified subset of conversations (several hundred; final n set in the protocol) to build the taxonomy; agreement between coders is measured (target kappa ≥ 0.70), and automated classification is evaluated per language against a held-out test set (precision, recall, F1). The interval analysis (H3) proceeds only if the audit confirms timestamps are exportable. No representativeness correction is claimed without an identified benchmark.</w:t>
      </w:r>
    </w:p>
    <w:p>
      <w:r>
        <w:rPr>
          <w:rFonts w:ascii="Times New Roman" w:hAnsi="Times New Roman"/>
          <w:b/>
          <w:sz w:val="24"/>
        </w:rPr>
        <w:t>Ethics and data architecture.</w:t>
      </w:r>
      <w:r>
        <w:rPr>
          <w:rFonts w:ascii="Times New Roman" w:hAnsi="Times New Roman"/>
          <w:sz w:val="24"/>
        </w:rPr>
        <w:t xml:space="preserve"> Users provide explicit consent at signup; the monitoring platform is GDPR-compliant by design and captures only user messages and bot responses. HERA's operational evaluation runs under existing ethics approval (ATADEK 2024-17/650, Acıbadem University, 2024), and prior studies in this population were ethics-approved and trial-registered.[1,5] The protocol adds a research layer under JHU IRB: component-level determinations, a Türkiye-consistent data-use agreement, platform-side de-identification with linkage keys never leaving the platform, and analysis in a controlled JHU environment. Clinician annotation carries a higher privacy burden than eyes-off consumer precedents,[6] addressed through minimization, pseudonymization, and access controls. Caregiver-reported child vaccination data are treated as children's health information. Research review of flagged conversations is retrospective, with survivor-centered escalation for gender-based violence and acute-risk disclosures; real-time safety response remains a service function. Declining research participation will never affect service access. The trainee's dual role (platform founder, DrPH student) is disclosed: data extraction by platform staff under agreement; analyses independently supervised under the PI.</w:t>
      </w:r>
    </w:p>
    <w:p>
      <w:r>
        <w:rPr>
          <w:rFonts w:ascii="Times New Roman" w:hAnsi="Times New Roman"/>
          <w:b/>
          <w:sz w:val="24"/>
        </w:rPr>
        <w:t>Timeline and gates.</w:t>
      </w:r>
      <w:r>
        <w:rPr>
          <w:rFonts w:ascii="Times New Roman" w:hAnsi="Times New Roman"/>
          <w:sz w:val="24"/>
        </w:rPr>
        <w:t xml:space="preserve"> Months 1-2: IRB submissions, scoping search, agreements (</w:t>
      </w:r>
      <w:r>
        <w:rPr>
          <w:rFonts w:ascii="Times New Roman" w:hAnsi="Times New Roman"/>
          <w:b/>
          <w:sz w:val="24"/>
        </w:rPr>
        <w:t>rights gate</w:t>
      </w:r>
      <w:r>
        <w:rPr>
          <w:rFonts w:ascii="Times New Roman" w:hAnsi="Times New Roman"/>
          <w:sz w:val="24"/>
        </w:rPr>
        <w:t>). Months 3-6: audit (</w:t>
      </w:r>
      <w:r>
        <w:rPr>
          <w:rFonts w:ascii="Times New Roman" w:hAnsi="Times New Roman"/>
          <w:b/>
          <w:sz w:val="24"/>
        </w:rPr>
        <w:t>data gate</w:t>
      </w:r>
      <w:r>
        <w:rPr>
          <w:rFonts w:ascii="Times New Roman" w:hAnsi="Times New Roman"/>
          <w:sz w:val="24"/>
        </w:rPr>
        <w:t>). Months 5-12: prospective instrument study (</w:t>
      </w:r>
      <w:r>
        <w:rPr>
          <w:rFonts w:ascii="Times New Roman" w:hAnsi="Times New Roman"/>
          <w:b/>
          <w:sz w:val="24"/>
        </w:rPr>
        <w:t>measurement gate</w:t>
      </w:r>
      <w:r>
        <w:rPr>
          <w:rFonts w:ascii="Times New Roman" w:hAnsi="Times New Roman"/>
          <w:sz w:val="24"/>
        </w:rPr>
        <w:t>). Months 10-20: Aim 2 analyses (</w:t>
      </w:r>
      <w:r>
        <w:rPr>
          <w:rFonts w:ascii="Times New Roman" w:hAnsi="Times New Roman"/>
          <w:b/>
          <w:sz w:val="24"/>
        </w:rPr>
        <w:t>selection gate</w:t>
      </w:r>
      <w:r>
        <w:rPr>
          <w:rFonts w:ascii="Times New Roman" w:hAnsi="Times New Roman"/>
          <w:sz w:val="24"/>
        </w:rPr>
        <w:t>). Months 18-24: manuscripts and dissemination.</w:t>
      </w:r>
    </w:p>
    <w:p>
      <w:r>
        <w:rPr>
          <w:rFonts w:ascii="Times New Roman" w:hAnsi="Times New Roman"/>
          <w:b/>
          <w:sz w:val="24"/>
        </w:rPr>
        <w:t>Feasibility.</w:t>
      </w:r>
      <w:r>
        <w:rPr>
          <w:rFonts w:ascii="Times New Roman" w:hAnsi="Times New Roman"/>
          <w:sz w:val="24"/>
        </w:rPr>
        <w:t xml:space="preserve"> JHU hosts oversight, analysis, trainee support, and a controlled data environment. JHU-led validation activities in Türkiye (cognitive interviews, focus groups, and in-depth interviews) run under separate IRB with CHH supervision; the platform partner provides opt-in recruitment pathways and de-identified data within the 10% external cap, not field supervision or primary data collection.</w:t>
      </w:r>
    </w:p>
    <w:p>
      <w:pPr>
        <w:pStyle w:val="Heading1"/>
      </w:pPr>
      <w:r>
        <w:t>4. Team Capability and Environment</w:t>
      </w:r>
    </w:p>
    <w:p>
      <w:r>
        <w:rPr>
          <w:rFonts w:ascii="Times New Roman" w:hAnsi="Times New Roman"/>
          <w:b/>
          <w:sz w:val="24"/>
        </w:rPr>
        <w:t>Shatha Elnakib (Lead PI, CHH):</w:t>
      </w:r>
      <w:r>
        <w:rPr>
          <w:rFonts w:ascii="Times New Roman" w:hAnsi="Times New Roman"/>
          <w:sz w:val="24"/>
        </w:rPr>
        <w:t xml:space="preserve"> mixed-methods research on refugee integration into national health systems and humanitarian reproductive health service delivery;[13-14] owns study design, ethics, the validation framework, and publication. </w:t>
      </w:r>
      <w:r>
        <w:rPr>
          <w:rFonts w:ascii="Times New Roman" w:hAnsi="Times New Roman"/>
          <w:b/>
          <w:sz w:val="24"/>
        </w:rPr>
        <w:t>CHH research analyst (award-funded):</w:t>
      </w:r>
      <w:r>
        <w:rPr>
          <w:rFonts w:ascii="Times New Roman" w:hAnsi="Times New Roman"/>
          <w:sz w:val="24"/>
        </w:rPr>
        <w:t xml:space="preserve"> executes NLP, statistics, and data governance under the PI. </w:t>
      </w:r>
      <w:r>
        <w:rPr>
          <w:rFonts w:ascii="Times New Roman" w:hAnsi="Times New Roman"/>
          <w:b/>
          <w:sz w:val="24"/>
        </w:rPr>
        <w:t>Aral Surmeli (DrPH trainee; advisor William Weiss):</w:t>
      </w:r>
      <w:r>
        <w:rPr>
          <w:rFonts w:ascii="Times New Roman" w:hAnsi="Times New Roman"/>
          <w:sz w:val="24"/>
        </w:rPr>
        <w:t xml:space="preserve"> first author of the Istanbul evaluation and registered PI of NCT05094518;[5] leads data-provenance mapping and audit documentation; trainee beneficiary, not co-PI; founder conflict managed as described. </w:t>
      </w:r>
      <w:r>
        <w:rPr>
          <w:rFonts w:ascii="Times New Roman" w:hAnsi="Times New Roman"/>
          <w:b/>
          <w:sz w:val="24"/>
        </w:rPr>
        <w:t>HERA Digital Health (external platform partner):</w:t>
      </w:r>
      <w:r>
        <w:rPr>
          <w:rFonts w:ascii="Times New Roman" w:hAnsi="Times New Roman"/>
          <w:sz w:val="24"/>
        </w:rPr>
        <w:t xml:space="preserve"> de-identified data provision and bounded integration at or below 10% of the award, or in-kind; no field research role. A data-science or biostatistics faculty co-investigator may be added at the PI's discretion.</w:t>
      </w:r>
    </w:p>
    <w:p>
      <w:pPr>
        <w:pStyle w:val="Heading1"/>
      </w:pPr>
      <w:r>
        <w:t>5. Future Funding Potential</w:t>
      </w:r>
    </w:p>
    <w:p>
      <w:r>
        <w:rPr>
          <w:rFonts w:ascii="Times New Roman" w:hAnsi="Times New Roman"/>
          <w:sz w:val="24"/>
        </w:rPr>
        <w:t>The long-term question is comparative: can an AI-supported navigation service connect refugee women to care more effectively than episodic, encounter-based approaches? Conditional on its gates, this award produces the assets that study requires and does not yet have: a measurement-evaluated instrument, a controlled annotated dataset with known properties, quantified nonresponse and selection behavior, a defensible barrier evidence profile, and a quantified distribution of time from expressed need to self-reported care among participating refugee women. Follow-on directions include DIV, FID, NIH, foundation implementation-research mechanisms, and other staged evaluation funders.</w:t>
      </w:r>
    </w:p>
    <w:p>
      <w:pPr>
        <w:pStyle w:val="Heading1"/>
      </w:pPr>
      <w:r>
        <w:t>6. Appropriate Use of Institutional Funds</w:t>
      </w:r>
    </w:p>
    <w:p>
      <w:r>
        <w:rPr>
          <w:rFonts w:ascii="Times New Roman" w:hAnsi="Times New Roman"/>
          <w:sz w:val="24"/>
        </w:rPr>
        <w:t>Funds prioritize JHU scientific and analyst effort, DrPH support, Türkiye field validation travel, participant incentives, secure compute, annotation, and dissemination; the platform partner remains at or below the 10% external cap ($35,000 at this request level).</w:t>
      </w:r>
    </w:p>
    <w:p>
      <w:pPr>
        <w:pStyle w:val="Heading1"/>
      </w:pPr>
      <w:r>
        <w:t>7. Demonstrated Need for Support</w:t>
      </w:r>
    </w:p>
    <w:p>
      <w:r>
        <w:rPr>
          <w:rFonts w:ascii="Times New Roman" w:hAnsi="Times New Roman"/>
          <w:sz w:val="24"/>
        </w:rPr>
        <w:t>The measurement foundation this study builds does not yet exist and is prerequisite to any adequately powered external evaluation; producing it is precisely the catalytic role of institutional support.</w:t>
      </w:r>
    </w:p>
    <w:p>
      <w:r>
        <w:br w:type="page"/>
      </w:r>
    </w:p>
    <w:p>
      <w:pPr>
        <w:pStyle w:val="Heading1"/>
      </w:pPr>
      <w:r>
        <w:t>References</w:t>
      </w:r>
    </w:p>
    <w:p>
      <w:r>
        <w:rPr>
          <w:rFonts w:ascii="Times New Roman" w:hAnsi="Times New Roman"/>
          <w:sz w:val="20"/>
        </w:rPr>
        <w:t>1. Sürmeli A, Narla NP, Shields AJ, Atun R. Leveraging mobile applications in humanitarian crisis to improve health: a case of Syrian women and children refugees in Turkey. *Journal of Global Health Reports*. 2020;4:e2020099. [https://doi.org/10.29392/001c.17892](https://doi.org/10.29392/001c.17892)</w:t>
      </w:r>
    </w:p>
    <w:p>
      <w:r>
        <w:rPr>
          <w:rFonts w:ascii="Times New Roman" w:hAnsi="Times New Roman"/>
          <w:sz w:val="20"/>
        </w:rPr>
        <w:t>2. Meyer CL, Sürmeli A, Hoeflin Hana C, Narla NP. Perceptions on a mobile health intervention to improve maternal child health for Syrian refugees in Turkey: opportunities and challenges for end-user acceptability. *Frontiers in Public Health*. 2022;10:1025675. [https://doi.org/10.3389/fpubh.2022.1025675](https://doi.org/10.3389/fpubh.2022.1025675)</w:t>
      </w:r>
    </w:p>
    <w:p>
      <w:r>
        <w:rPr>
          <w:rFonts w:ascii="Times New Roman" w:hAnsi="Times New Roman"/>
          <w:sz w:val="20"/>
        </w:rPr>
        <w:t>3. Davidson N, Hammarberg K, Romero L, Fisher J. Access to preventive sexual and reproductive health care for women from refugee-like backgrounds: a systematic review. *BMC Public Health*. 2022;22:403. [https://doi.org/10.1186/s12889-022-12576-4](https://doi.org/10.1186/s12889-022-12576-4)</w:t>
      </w:r>
    </w:p>
    <w:p>
      <w:r>
        <w:rPr>
          <w:rFonts w:ascii="Times New Roman" w:hAnsi="Times New Roman"/>
          <w:sz w:val="20"/>
        </w:rPr>
        <w:t>4. Hakimi S, et al. Maternal and newborn health inequality among Syrian refugees in Turkey: a systematic review and meta-analysis. *International Journal for Equity in Health*. 2025;24:160. [https://doi.org/10.1186/s12939-025-02506-2](https://doi.org/10.1186/s12939-025-02506-2)</w:t>
      </w:r>
    </w:p>
    <w:p>
      <w:r>
        <w:rPr>
          <w:rFonts w:ascii="Times New Roman" w:hAnsi="Times New Roman"/>
          <w:sz w:val="20"/>
        </w:rPr>
        <w:t>5. Sürmeli A, Yasin Y, Narla NP, et al. Digital reminders for antenatal care in a refugee population. *JMIR Preprints*. 2026;97767. Under peer review; NCT05094518. [https://preprints.jmir.org/preprint/97767](https://preprints.jmir.org/preprint/97767)</w:t>
      </w:r>
    </w:p>
    <w:p>
      <w:r>
        <w:rPr>
          <w:rFonts w:ascii="Times New Roman" w:hAnsi="Times New Roman"/>
          <w:sz w:val="20"/>
        </w:rPr>
        <w:t>6. Costa-Gomes B, Tolmachev P, Taysom E, et al. Public use of a generalist LLM chatbot for health queries. *Nature Health*. 2026;1:689-696. [https://doi.org/10.1038/s44360-026-00117-x](https://doi.org/10.1038/s44360-026-00117-x)</w:t>
      </w:r>
    </w:p>
    <w:p>
      <w:r>
        <w:rPr>
          <w:rFonts w:ascii="Times New Roman" w:hAnsi="Times New Roman"/>
          <w:sz w:val="20"/>
        </w:rPr>
        <w:t>7. World Health Organization. *The role of artificial intelligence in sexual and reproductive health and rights: technical brief*. Geneva: WHO; 2024. [https://iris.who.int/handle/10665/376294](https://iris.who.int/handle/10665/376294)</w:t>
      </w:r>
    </w:p>
    <w:p>
      <w:r>
        <w:rPr>
          <w:rFonts w:ascii="Times New Roman" w:hAnsi="Times New Roman"/>
          <w:sz w:val="20"/>
        </w:rPr>
        <w:t>8. Zhu L, Mou W, Lai Y, Lin J, Luo P. Language and cultural bias in AI: comparing the performance of large language models developed in different countries on Traditional Chinese Medicine highlights the need for localized models. *Journal of Translational Medicine*. 2024;22:319. [https://doi.org/10.1186/s12967-024-05128-4](https://doi.org/10.1186/s12967-024-05128-4)</w:t>
      </w:r>
    </w:p>
    <w:p>
      <w:r>
        <w:rPr>
          <w:rFonts w:ascii="Times New Roman" w:hAnsi="Times New Roman"/>
          <w:sz w:val="20"/>
        </w:rPr>
        <w:t>9. Huo B, Boyle A, Marfo N, et al. Large language models for chatbot health advice studies: a systematic review. *JAMA Network Open*. 2025;8(2):e2457879. [https://doi.org/10.1001/jamanetworkopen.2024.57879](https://doi.org/10.1001/jamanetworkopen.2024.57879)</w:t>
      </w:r>
    </w:p>
    <w:p>
      <w:r>
        <w:rPr>
          <w:rFonts w:ascii="Times New Roman" w:hAnsi="Times New Roman"/>
          <w:sz w:val="20"/>
        </w:rPr>
        <w:t>10. Norton A, Tappis H. Sexual and reproductive health implementation research in humanitarian contexts: a scoping review. *Reproductive Health*. 2024;21:64. [https://doi.org/10.1186/s12978-024-01793-2](https://doi.org/10.1186/s12978-024-01793-2)</w:t>
      </w:r>
    </w:p>
    <w:p>
      <w:r>
        <w:rPr>
          <w:rFonts w:ascii="Times New Roman" w:hAnsi="Times New Roman"/>
          <w:sz w:val="20"/>
        </w:rPr>
        <w:t>11. Republic of Türkiye Ministry of Interior, Presidency of Migration Management. Rights and obligations under temporary protection. Accessed July 10, 2026. [https://www.goc.gov.tr/hak-ve-yukumlulukler](https://www.goc.gov.tr/hak-ve-yukumlulukler)</w:t>
      </w:r>
    </w:p>
    <w:p>
      <w:r>
        <w:rPr>
          <w:rFonts w:ascii="Times New Roman" w:hAnsi="Times New Roman"/>
          <w:sz w:val="20"/>
        </w:rPr>
        <w:t>12. Republic of Türkiye Ministry of Health, General Directorate of Public Health. Migrant health centers. Accessed July 10, 2026. [https://hsgm.saglik.gov.tr/tr/gsm.html](https://hsgm.saglik.gov.tr/tr/gsm.html)</w:t>
      </w:r>
    </w:p>
    <w:p>
      <w:r>
        <w:rPr>
          <w:rFonts w:ascii="Times New Roman" w:hAnsi="Times New Roman"/>
          <w:sz w:val="20"/>
        </w:rPr>
        <w:t>13. Elnakib S, Jackson C, Lalani U, Shawar YR, Bennett S. How integration of refugees into national health systems became a global priority: a qualitative policy analysis. *Conflict and Health*. 2024;18(Suppl 1):31. [https://doi.org/10.1186/s13031-024-00587-4](https://doi.org/10.1186/s13031-024-00587-4)</w:t>
      </w:r>
    </w:p>
    <w:p>
      <w:r>
        <w:rPr>
          <w:rFonts w:ascii="Times New Roman" w:hAnsi="Times New Roman"/>
          <w:sz w:val="20"/>
        </w:rPr>
        <w:t>14. Tappis H, Elaraby S, Elnakib S, et al. Reproductive, maternal, newborn and child health service delivery during conflict in Yemen: a case study. *Conflict and Health*. 2020;14:30. [https://doi.org/10.1186/s13031-020-00269-x](https://doi.org/10.1186/s13031-020-00269-x)</w:t>
      </w:r>
    </w:p>
    <w:p>
      <w:r>
        <w:rPr>
          <w:rFonts w:ascii="Times New Roman" w:hAnsi="Times New Roman"/>
          <w:sz w:val="20"/>
        </w:rPr>
        <w:t>15. World Health Organization. *Analysis and use of health facility data: guidance for reproductive, maternal, newborn, child and adolescent health programmes*. Geneva: World Health Organization; 2019. [https://cdn.who.int/media/docs/default-source/documents/ddi/facilityanalysisguidance-rmncah.pdf](https://cdn.who.int/media/docs/default-source/documents/ddi/facilityanalysisguidance-rmncah.pdf)</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