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commentRangeStart w:id="0"/>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themes are retained, with dated lettered particulars and an event list following Part 4.8 of the Appeal Guide.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commentRangeEnd w:id="0"/>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 Paragraph 27 of the Respondent's statement does not itself identify the management action relied on (303); the particular explanations pleaded elsewhere remain to be assessed.</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30 September 2026.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is 33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1(n))</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1(i),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tcMar>
              <w:top w:w="65" w:type="dxa"/>
              <w:left w:w="80" w:type="dxa"/>
              <w:bottom w:w="65" w:type="dxa"/>
              <w:right w:w="80" w:type="dxa"/>
            </w:tcMar>
          </w:tcPr>
          <w:p>
            <w:r>
              <w:rPr>
                <w:rFonts w:ascii="Arial" w:hAnsi="Arial"/>
                <w:color w:val="000000"/>
                <w:sz w:val="18"/>
              </w:rPr>
              <w:t>Stressor 1(i), for dates, senders and recipients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27 pages.</w:t>
      </w:r>
    </w:p>
    <w:sectPr>
      <w:pgSz w:w="11906" w:h="16838"/>
      <w:pgMar w:top="1000" w:right="1134" w:bottom="900" w:left="1134" w:header="567" w:footer="567" w:gutter="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30T16:19:16Z">
    <w:p>
      <w:pPr>
        <w:pStyle w:val="CommentText"/>
      </w:pPr>
      <w:r>
        <w:rPr>
          <w:rStyle w:val="CommentReference"/>
        </w:rPr>
        <w:annotationRef/>
      </w:r>
      <w:r>
        <w:t>Updated to explain the thematic/event structure and to distinguish formal admissions from other relied-on evidence. The existing assertion that this adds no new allegation is retained on the footing that only the attached draft is being reorganised; compare with the filed April pleading before filing if its scope is disputed.</w:t>
      </w:r>
    </w:p>
  </w:comment>
</w:comments>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omments" Target="comments.xml"/><Relationship Id="rId2" Type="http://schemas.openxmlformats.org/officeDocument/2006/relationships/styles" Target="styles.xml"/></Relationships>
</file>