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Arial" w:hAnsi="Arial" w:cs="Arial"/>
          <w:b/>
          <w:sz w:val="28"/>
          <w:szCs w:val="28"/>
        </w:rPr>
        <w:t>SECOND AMENDED STATEMENT OF FACTS AND CONTENTIONS (FORM 9A)</w:t>
      </w:r>
    </w:p>
    <w:p>
      <w:pPr>
        <w:spacing w:before="0" w:after="200" w:line="264" w:lineRule="auto"/>
        <w:jc w:val="center"/>
      </w:pPr>
      <w:r>
        <w:rPr>
          <w:rFonts w:ascii="Arial" w:hAnsi="Arial" w:cs="Arial"/>
          <w:sz w:val="18"/>
          <w:szCs w:val="18"/>
        </w:rPr>
        <w:t>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pPr>
      <w:r>
        <w:rPr>
          <w:rFonts w:ascii="Arial" w:hAnsi="Arial" w:cs="Arial"/>
          <w:b/>
          <w:sz w:val="24"/>
          <w:szCs w:val="24"/>
        </w:rPr>
        <w:t>PART A</w:t>
      </w:r>
    </w:p>
    <w:p>
      <w:pPr>
        <w:spacing w:before="0" w:after="100" w:line="264" w:lineRule="auto"/>
      </w:pPr>
      <w:r>
        <w:rPr>
          <w:rFonts w:ascii="Arial" w:hAnsi="Arial" w:cs="Arial"/>
          <w:sz w:val="20"/>
          <w:szCs w:val="20"/>
        </w:rPr>
        <w:t>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w:t>
      </w:r>
    </w:p>
    <w:p>
      <w:pPr>
        <w:keepNext/>
        <w:spacing w:before="240" w:after="100" w:line="264" w:lineRule="auto"/>
      </w:pPr>
      <w:r>
        <w:rPr>
          <w:rFonts w:ascii="Arial" w:hAnsi="Arial" w:cs="Arial"/>
          <w:b/>
          <w:sz w:val="24"/>
          <w:szCs w:val="24"/>
        </w:rPr>
        <w:t>PART B - MATERIAL FACTS</w:t>
      </w:r>
    </w:p>
    <w:p>
      <w:pPr>
        <w:spacing w:before="0" w:after="100" w:line="264" w:lineRule="auto"/>
      </w:pPr>
      <w:r>
        <w:rPr>
          <w:rFonts w:ascii="Arial" w:hAnsi="Arial" w:cs="Arial"/>
          <w:sz w:val="20"/>
          <w:szCs w:val="20"/>
        </w:rPr>
        <w:t>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pPr>
      <w:r>
        <w:rPr>
          <w:rFonts w:ascii="Arial" w:hAnsi="Arial" w:cs="Arial"/>
          <w:b/>
          <w:sz w:val="20"/>
          <w:szCs w:val="20"/>
        </w:rPr>
        <w:t xml:space="preserve">How this Part is arranged. </w:t>
      </w:r>
      <w:r>
        <w:rPr>
          <w:rFonts w:ascii="Arial" w:hAnsi="Arial" w:cs="Arial"/>
          <w:b w:val="0"/>
          <w:sz w:val="20"/>
          <w:szCs w:val="20"/>
        </w:rPr>
        <w:t>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pPr>
      <w:r>
        <w:rPr>
          <w:rFonts w:ascii="Arial" w:hAnsi="Arial" w:cs="Arial"/>
          <w:b/>
          <w:sz w:val="22"/>
          <w:szCs w:val="22"/>
        </w:rPr>
        <w:t>1. The starting point - the role, and the medical record</w:t>
      </w:r>
    </w:p>
    <w:p>
      <w:pPr>
        <w:spacing w:before="0" w:after="100" w:line="264" w:lineRule="auto"/>
      </w:pPr>
      <w:r>
        <w:rPr>
          <w:rFonts w:ascii="Arial" w:hAnsi="Arial" w:cs="Arial"/>
          <w:sz w:val="20"/>
          <w:szCs w:val="20"/>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b w:val="0"/>
          <w:sz w:val="20"/>
          <w:szCs w:val="20"/>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1(m). [¶¶ 76 to 77]</w:t>
      </w:r>
    </w:p>
    <w:p>
      <w:pPr>
        <w:spacing w:before="0" w:after="100" w:line="264" w:lineRule="auto"/>
        <w:ind w:left="284"/>
      </w:pPr>
      <w:r>
        <w:rPr>
          <w:rFonts w:ascii="Arial" w:hAnsi="Arial" w:cs="Arial"/>
          <w:i/>
          <w:sz w:val="18"/>
          <w:szCs w:val="18"/>
        </w:rPr>
        <w:t>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2. The stressors that caused the injury (the whole course of conduct, June 2023 - June 2024)</w:t>
      </w:r>
    </w:p>
    <w:p>
      <w:pPr>
        <w:spacing w:before="0" w:after="100" w:line="264" w:lineRule="auto"/>
      </w:pPr>
      <w:commentRangeStart w:id="0"/>
      <w:r>
        <w:rPr>
          <w:rFonts w:ascii="Arial" w:hAnsi="Arial" w:cs="Arial"/>
          <w:b/>
          <w:sz w:val="20"/>
          <w:szCs w:val="20"/>
        </w:rPr>
        <w:t xml:space="preserve">List of stressors and dated particulars. </w:t>
      </w:r>
      <w:r>
        <w:rPr>
          <w:rFonts w:ascii="Arial" w:hAnsi="Arial" w:cs="Arial"/>
          <w:b w:val="0"/>
          <w:sz w:val="20"/>
          <w:szCs w:val="20"/>
        </w:rPr>
        <w:t>WC/2024/227 - Cory Lea Shepherd v Workers' Compensation Regulator. The list identifies the individual events and issues under the three themes for the purposes of Part 4.8 of the Workers' Compensation Appeal Guide. Descriptions identify material already pleaded as context only or as later evidence; those entries do not add causes of injury.</w:t>
      </w:r>
      <w:commentRangeEnd w:id="0"/>
      <w:r>
        <w:rPr>
          <w:rStyle w:val="CommentReference"/>
        </w:rPr>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No.</w:t>
            </w:r>
          </w:p>
        </w:tc>
        <w:tc>
          <w:tcPr>
            <w:tcW w:type="dxa" w:w="1616"/>
            <w:shd w:val="clear" w:color="auto" w:fill="E8E8E8"/>
            <w:tcMar>
              <w:top w:w="65" w:type="dxa"/>
              <w:left w:w="80" w:type="dxa"/>
              <w:bottom w:w="65" w:type="dxa"/>
              <w:right w:w="80" w:type="dxa"/>
            </w:tcMar>
          </w:tcPr>
          <w:p>
            <w:r>
              <w:rPr>
                <w:rFonts w:ascii="Arial" w:hAnsi="Arial"/>
                <w:b/>
                <w:color w:val="000000"/>
                <w:sz w:val="18"/>
              </w:rPr>
              <w:t>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Event or issue</w:t>
            </w:r>
          </w:p>
        </w:tc>
        <w:tc>
          <w:tcPr>
            <w:tcW w:type="dxa" w:w="5017"/>
            <w:shd w:val="clear" w:color="auto" w:fill="E8E8E8"/>
            <w:tcMar>
              <w:top w:w="65" w:type="dxa"/>
              <w:left w:w="80" w:type="dxa"/>
              <w:bottom w:w="65" w:type="dxa"/>
              <w:right w:w="80" w:type="dxa"/>
            </w:tcMar>
          </w:tcPr>
          <w:p>
            <w:r>
              <w:rPr>
                <w:rFonts w:ascii="Arial" w:hAnsi="Arial"/>
                <w:b/>
                <w:color w:val="000000"/>
                <w:sz w:val="18"/>
              </w:rPr>
              <w:t>Brief description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on or around 6 June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Removal of the Communication Book entry</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Entry removed and management response recorded;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18 July 2023 to 18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Database access and the restricted correction process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Operators lost access; amendments were channelled through specified staff.</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16 October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concerns and the move to full time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error, responses and application for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23 August 2023 to 17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Notification of variable office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Variable hours were stated; no intervening statement of fixed hours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Pandemic leave submissions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declines and three submissions; context here and entitlement issue in 2(b).</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After hours on call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New process was stated to take effect that day.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 entry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review decision records a new checking process following data entry errors.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 to 9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Misdirected calls and the MASPER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reports recorded nine occasions before a revised process was communicated.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The complaint of 13 May 2024, and the days that followed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Complaint and distribution chronology; context only, with no separate causal allegation.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On call roster circulated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roster was circulated on the first day of the fortnight it covered.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14 to 15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Absence notification instructions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Instructions channelled notification of unavailability through the manager.</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Respiratory directory error and requests for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Repeated requests, the Appellant’s escalation and management reply.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1(m)</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Office hours request and the retraction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Request for clarity, retraction request, hours clarification and follow-up.</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1(n)</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18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Manager absence notification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manager notified the team of absence and referred to the preceding week.</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9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Seven hours recorded instead of eight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5 February was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Processing of paid pandemic leave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Three submissions and two declines before final approval.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Second shift recorded as seven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19 February was also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Overtime recorded as ordinary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too many ordinary shifts and a need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Public holiday claim submitted late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later described the claim as submitted late.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Hours above the contracted fortnight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further requirement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 enquiry and public holiday review</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Enquiry, acknowledgment, follow-up and response; public holiday review remained open.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Payroll directed four fortnight corrections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directed the manager to submit an AVAC for each affected fortnight.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to 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Follow-up found no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followed up; Payroll referred him back to the line manager.</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16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 completed AVAC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Process 16328886 was submitted and completed; its relation to the errors needs identification.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about rostering</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Reese followed up with HR and attached the fatigue guideline; related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Manager awaited Payroll confirmation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manager said she was still waiting for confirmation.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2(m)</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to 30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Validation request and partly completed AVAC</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Validation sought; process 16450619 was recorded as "Part Completed".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2(n)</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5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Three corrections reached a payslip</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adjustments for 28 February, 30 March and 1 April.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2(o)</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June to 2 July 2025</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Later correction of the 9 February shift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later amendment and pay date; evidence of the earlier correction history.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4 September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Earlier roster error and proposed roster</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Rest was offered after an acknowledged error; the Appellant proposed increased hours.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17 to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Consecutive shifts and the seven-hour break</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Rostered interval, travel, rest and workload relied on in their operational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Sick leave after the consecutive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record shows 7.60 hours of approved sick leave; the fatigue entitlement is disputed.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enquiry and refusal</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Acknowledged on 9 April; substantive response and refusal after 23 days.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16 to 26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line error and proposed alternatives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Error acknowledged after the meeting; no subsequent contact about alternatives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 to 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toolkit raised and HR advice awaited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sought action on the toolkit; Reese said she was awaiting advice.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Risk rating and roster decision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Reese recorded personal fatigue concerns, a moderate rating and an undisclosed roster decision.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with the fatigue guideline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Reese followed up her earlier query and attached the guideline.</w:t>
            </w:r>
          </w:p>
        </w:tc>
      </w:tr>
    </w:tbl>
    <w:p>
      <w:pPr>
        <w:spacing w:after="60"/>
      </w:pPr>
    </w:p>
    <w:p>
      <w:pPr>
        <w:spacing w:before="80" w:after="140" w:line="264" w:lineRule="auto"/>
      </w:pPr>
      <w:r>
        <w:rPr>
          <w:rFonts w:ascii="Arial" w:hAnsi="Arial" w:cs="Arial"/>
          <w:b/>
          <w:sz w:val="20"/>
          <w:szCs w:val="20"/>
        </w:rPr>
        <w:t xml:space="preserve">In summary. </w:t>
      </w:r>
      <w:r>
        <w:rPr>
          <w:rFonts w:ascii="Arial" w:hAnsi="Arial" w:cs="Arial"/>
          <w:b w:val="0"/>
          <w:sz w:val="20"/>
          <w:szCs w:val="20"/>
        </w:rPr>
        <w:t>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pageBreakBefore/>
        <w:spacing w:before="0" w:after="100" w:line="264" w:lineRule="auto"/>
      </w:pPr>
      <w:r>
        <w:rPr>
          <w:rFonts w:ascii="Arial" w:hAnsi="Arial" w:cs="Arial"/>
          <w:b/>
          <w:sz w:val="22"/>
          <w:szCs w:val="22"/>
        </w:rPr>
        <w:t>STRESSOR 1 - THE CONDITIONS IN WHICH THE WORK WAS CARRIED ON</w:t>
      </w:r>
    </w:p>
    <w:p>
      <w:pPr>
        <w:spacing w:before="0" w:after="100" w:line="264" w:lineRule="auto"/>
      </w:pPr>
      <w:r>
        <w:rPr>
          <w:rFonts w:ascii="Arial" w:hAnsi="Arial" w:cs="Arial"/>
          <w:b/>
          <w:sz w:val="20"/>
          <w:szCs w:val="20"/>
        </w:rPr>
        <w:t xml:space="preserve">Scope of Stressor 1. </w:t>
      </w:r>
      <w:r>
        <w:rPr>
          <w:rFonts w:ascii="Arial" w:hAnsi="Arial" w:cs="Arial"/>
          <w:b w:val="0"/>
          <w:sz w:val="20"/>
          <w:szCs w:val="20"/>
        </w:rPr>
        <w:t>The causal particulars are 1(b), 1(d), 1(f) to 1(h), and 1(j) to 1(n). Particulars 1(a), 1(c), 1(e) and 1(i) preserve the contextual sequences in the existing pleading. They are not added as separate causes within this theme. Each dated particular is read with the duties and standards below.</w:t>
      </w:r>
    </w:p>
    <w:p>
      <w:pPr>
        <w:spacing w:before="0" w:after="100" w:line="264" w:lineRule="auto"/>
      </w:pPr>
      <w:r>
        <w:rPr>
          <w:rFonts w:ascii="Arial" w:hAnsi="Arial" w:cs="Arial"/>
          <w:b/>
          <w:sz w:val="20"/>
          <w:szCs w:val="20"/>
        </w:rPr>
        <w:t xml:space="preserve">The duty to keep the contact information accurate. </w:t>
      </w:r>
      <w:r>
        <w:rPr>
          <w:rFonts w:ascii="Arial" w:hAnsi="Arial" w:cs="Arial"/>
          <w:b w:val="0"/>
          <w:sz w:val="20"/>
          <w:szCs w:val="20"/>
        </w:rPr>
        <w:t>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b w:val="0"/>
          <w:sz w:val="20"/>
          <w:szCs w:val="20"/>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pPr>
      <w:r>
        <w:rPr>
          <w:rFonts w:ascii="Arial" w:hAnsi="Arial" w:cs="Arial"/>
          <w:b/>
          <w:sz w:val="20"/>
          <w:szCs w:val="20"/>
        </w:rPr>
        <w:t xml:space="preserve">How critical the function is, as the Respondent admits. </w:t>
      </w:r>
      <w:r>
        <w:rPr>
          <w:rFonts w:ascii="Arial" w:hAnsi="Arial" w:cs="Arial"/>
          <w:b w:val="0"/>
          <w:sz w:val="20"/>
          <w:szCs w:val="20"/>
        </w:rPr>
        <w:t>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1(l).</w:t>
      </w:r>
    </w:p>
    <w:p>
      <w:pPr>
        <w:spacing w:before="0" w:after="100" w:line="264" w:lineRule="auto"/>
      </w:pPr>
      <w:r>
        <w:rPr>
          <w:rFonts w:ascii="Arial" w:hAnsi="Arial" w:cs="Arial"/>
          <w:b/>
          <w:sz w:val="20"/>
          <w:szCs w:val="20"/>
        </w:rPr>
        <w:t xml:space="preserve">The duty to consult, and the absence of any record of consultation. </w:t>
      </w:r>
      <w:r>
        <w:rPr>
          <w:rFonts w:ascii="Arial" w:hAnsi="Arial" w:cs="Arial"/>
          <w:b w:val="0"/>
          <w:sz w:val="20"/>
          <w:szCs w:val="20"/>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b/>
          <w:sz w:val="20"/>
          <w:szCs w:val="20"/>
        </w:rPr>
        <w:t xml:space="preserve">The safety responsibilities of the position. </w:t>
      </w:r>
      <w:r>
        <w:rPr>
          <w:rFonts w:ascii="Arial" w:hAnsi="Arial" w:cs="Arial"/>
          <w:b w:val="0"/>
          <w:sz w:val="20"/>
          <w:szCs w:val="20"/>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b/>
          <w:sz w:val="20"/>
          <w:szCs w:val="20"/>
        </w:rPr>
        <w:t xml:space="preserve">1(a) Removal of the Communication Book entry (on or around 6 June 2023). </w:t>
      </w:r>
      <w:r>
        <w:rPr>
          <w:rFonts w:ascii="Arial" w:hAnsi="Arial" w:cs="Arial"/>
          <w:b w:val="0"/>
          <w:sz w:val="20"/>
          <w:szCs w:val="20"/>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1(b) Database access and the restricted correction process (18 July 2023 to 18 June 2024). </w:t>
      </w:r>
      <w:r>
        <w:rPr>
          <w:rFonts w:ascii="Arial" w:hAnsi="Arial" w:cs="Arial"/>
          <w:b w:val="0"/>
          <w:sz w:val="20"/>
          <w:szCs w:val="20"/>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She stated: "While I am fixing up the database and all of its entries, I will be removing everyone's access to the database." [¶ 40]</w:t>
      </w:r>
    </w:p>
    <w:p>
      <w:pPr>
        <w:spacing w:before="0" w:after="100" w:line="264" w:lineRule="auto"/>
      </w:pPr>
      <w:r>
        <w:rPr>
          <w:rFonts w:ascii="Arial" w:hAnsi="Arial" w:cs="Arial"/>
          <w:sz w:val="20"/>
          <w:szCs w:val="20"/>
        </w:rPr>
        <w:t>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The Respondent's own review decision records the same matters. [¶¶ 46 to 48]</w:t>
      </w:r>
    </w:p>
    <w:p>
      <w:pPr>
        <w:spacing w:before="0" w:after="100" w:line="264" w:lineRule="auto"/>
      </w:pPr>
      <w:r>
        <w:rPr>
          <w:rFonts w:ascii="Arial" w:hAnsi="Arial" w:cs="Arial"/>
          <w:b/>
          <w:sz w:val="20"/>
          <w:szCs w:val="20"/>
        </w:rPr>
        <w:t xml:space="preserve">The Respondent does not allege that access to the database was restored to the Appellant at any time before 18 June 2024. </w:t>
      </w:r>
      <w:r>
        <w:rPr>
          <w:rFonts w:ascii="Arial" w:hAnsi="Arial" w:cs="Arial"/>
          <w:b w:val="0"/>
          <w:sz w:val="20"/>
          <w:szCs w:val="20"/>
        </w:rPr>
        <w:t>[¶ 55] From 18 July 2023 to 18 June 2024 is eleven months. Nothing is alleged to have happened in that time to restore access. The duty described above remained on the position throughout that period.</w:t>
      </w:r>
    </w:p>
    <w:p>
      <w:pPr>
        <w:spacing w:before="0" w:after="100" w:line="264" w:lineRule="auto"/>
      </w:pPr>
      <w:r>
        <w:rPr>
          <w:rFonts w:ascii="Arial" w:hAnsi="Arial" w:cs="Arial"/>
          <w:b/>
          <w:sz w:val="20"/>
          <w:szCs w:val="20"/>
        </w:rPr>
        <w:t xml:space="preserve">The repair path, and its availability. </w:t>
      </w:r>
      <w:r>
        <w:rPr>
          <w:rFonts w:ascii="Arial" w:hAnsi="Arial" w:cs="Arial"/>
          <w:b w:val="0"/>
          <w:sz w:val="20"/>
          <w:szCs w:val="20"/>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How long an incorrect entry stayed uncorrected depended on when those two people were available.</w:t>
      </w:r>
    </w:p>
    <w:p>
      <w:pPr>
        <w:spacing w:before="0" w:after="100" w:line="264" w:lineRule="auto"/>
      </w:pPr>
      <w:r>
        <w:rPr>
          <w:rFonts w:ascii="Arial" w:hAnsi="Arial" w:cs="Arial"/>
          <w:b/>
          <w:sz w:val="20"/>
          <w:szCs w:val="20"/>
        </w:rPr>
        <w:t xml:space="preserve">1(c) Roster concerns and the move to full time (7 August to 16 October 2023). </w:t>
      </w:r>
      <w:r>
        <w:rPr>
          <w:rFonts w:ascii="Arial" w:hAnsi="Arial" w:cs="Arial"/>
          <w:b w:val="0"/>
          <w:sz w:val="20"/>
          <w:szCs w:val="20"/>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At 3:13 pm the Director replied. [¶ 158]</w:t>
      </w:r>
    </w:p>
    <w:p>
      <w:pPr>
        <w:spacing w:before="0" w:after="100" w:line="264" w:lineRule="auto"/>
      </w:pPr>
      <w:r>
        <w:rPr>
          <w:rFonts w:ascii="Arial" w:hAnsi="Arial" w:cs="Arial"/>
          <w:sz w:val="20"/>
          <w:szCs w:val="20"/>
        </w:rPr>
        <w:t>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On 29 August 2023 she sent HR Policy E12, and on 4 September 2023 the Appellant replied. [¶¶ 160 to 161]</w:t>
      </w:r>
    </w:p>
    <w:p>
      <w:pPr>
        <w:spacing w:before="0" w:after="100" w:line="264" w:lineRule="auto"/>
      </w:pPr>
      <w:r>
        <w:rPr>
          <w:rFonts w:ascii="Arial" w:hAnsi="Arial" w:cs="Arial"/>
          <w:sz w:val="20"/>
          <w:szCs w:val="20"/>
        </w:rPr>
        <w:t>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1(d) Notification of variable office hours (23 August 2023 to 17 May 2024). </w:t>
      </w:r>
      <w:r>
        <w:rPr>
          <w:rFonts w:ascii="Arial" w:hAnsi="Arial" w:cs="Arial"/>
          <w:b w:val="0"/>
          <w:sz w:val="20"/>
          <w:szCs w:val="20"/>
        </w:rPr>
        <w:t>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b/>
          <w:sz w:val="20"/>
          <w:szCs w:val="20"/>
        </w:rPr>
        <w:t xml:space="preserve">The Respondent does not allege that fixed office hours were stated to the Switchboard staff at any time between 23 August 2023 and 17 May 2024. </w:t>
      </w:r>
      <w:r>
        <w:rPr>
          <w:rFonts w:ascii="Arial" w:hAnsi="Arial" w:cs="Arial"/>
          <w:b w:val="0"/>
          <w:sz w:val="20"/>
          <w:szCs w:val="20"/>
        </w:rPr>
        <w:t>[¶ 73] That is approximately nine months.</w:t>
      </w:r>
    </w:p>
    <w:p>
      <w:pPr>
        <w:spacing w:before="0" w:after="100" w:line="264" w:lineRule="auto"/>
      </w:pPr>
      <w:r>
        <w:rPr>
          <w:rFonts w:ascii="Arial" w:hAnsi="Arial" w:cs="Arial"/>
          <w:b/>
          <w:sz w:val="20"/>
          <w:szCs w:val="20"/>
        </w:rPr>
        <w:t xml:space="preserve">1(e) Pandemic leave submissions (20 February to 1 March 2024). </w:t>
      </w:r>
      <w:r>
        <w:rPr>
          <w:rFonts w:ascii="Arial" w:hAnsi="Arial" w:cs="Arial"/>
          <w:b w:val="0"/>
          <w:sz w:val="20"/>
          <w:szCs w:val="20"/>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1(f) After hours on call process changed (15 April 2024). </w:t>
      </w:r>
      <w:r>
        <w:rPr>
          <w:rFonts w:ascii="Arial" w:hAnsi="Arial" w:cs="Arial"/>
          <w:b w:val="0"/>
          <w:sz w:val="20"/>
          <w:szCs w:val="20"/>
        </w:rPr>
        <w:t>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She signed it as "A/Switchboard Manager". [¶ 53]</w:t>
      </w:r>
    </w:p>
    <w:p>
      <w:pPr>
        <w:spacing w:before="0" w:after="100" w:line="264" w:lineRule="auto"/>
      </w:pPr>
      <w:r>
        <w:rPr>
          <w:rFonts w:ascii="Arial" w:hAnsi="Arial" w:cs="Arial"/>
          <w:b/>
          <w:sz w:val="20"/>
          <w:szCs w:val="20"/>
        </w:rPr>
        <w:t xml:space="preserve">1(g) Data entry process changed (19 April 2024). </w:t>
      </w:r>
      <w:r>
        <w:rPr>
          <w:rFonts w:ascii="Arial" w:hAnsi="Arial" w:cs="Arial"/>
          <w:b w:val="0"/>
          <w:sz w:val="20"/>
          <w:szCs w:val="20"/>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b/>
          <w:sz w:val="20"/>
          <w:szCs w:val="20"/>
        </w:rPr>
        <w:t xml:space="preserve">1(h) Misdirected calls and the MASPER response (2 to 9 May 2024). </w:t>
      </w:r>
      <w:r>
        <w:rPr>
          <w:rFonts w:ascii="Arial" w:hAnsi="Arial" w:cs="Arial"/>
          <w:b w:val="0"/>
          <w:sz w:val="20"/>
          <w:szCs w:val="20"/>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b w:val="0"/>
          <w:sz w:val="20"/>
          <w:szCs w:val="20"/>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pPr>
      <w:r>
        <w:rPr>
          <w:rFonts w:ascii="Arial" w:hAnsi="Arial" w:cs="Arial"/>
          <w:sz w:val="20"/>
          <w:szCs w:val="20"/>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That reply was sent five days, eighteen hours and fourteen minutes after the first email. [¶¶ 62 to 64]</w:t>
      </w:r>
    </w:p>
    <w:p>
      <w:pPr>
        <w:spacing w:before="0" w:after="100" w:line="264" w:lineRule="auto"/>
      </w:pPr>
      <w:r>
        <w:rPr>
          <w:rFonts w:ascii="Arial" w:hAnsi="Arial" w:cs="Arial"/>
          <w:sz w:val="20"/>
          <w:szCs w:val="20"/>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So the sequence at the console was: the first report on 3 May 2024, a second on 8 May (the fifth calendar day after the first), nine occasions in all, a first reply after five days, eighteen hours and fourteen minutes, and a new process communicated to Switchboard staff at 10:15 am on 9 May (the sixth day). [¶¶ 56 to 69]</w:t>
      </w:r>
    </w:p>
    <w:p>
      <w:pPr>
        <w:spacing w:before="0" w:after="100" w:line="264" w:lineRule="auto"/>
      </w:pPr>
      <w:r>
        <w:rPr>
          <w:rFonts w:ascii="Arial" w:hAnsi="Arial" w:cs="Arial"/>
          <w:b/>
          <w:sz w:val="20"/>
          <w:szCs w:val="20"/>
        </w:rPr>
        <w:t xml:space="preserve">1(i) The complaint of 13 May 2024, and the days that followed - chronology only (13 to 21 May 2024). </w:t>
      </w:r>
      <w:r>
        <w:rPr>
          <w:rFonts w:ascii="Arial" w:hAnsi="Arial" w:cs="Arial"/>
          <w:b w:val="0"/>
          <w:sz w:val="20"/>
          <w:szCs w:val="20"/>
        </w:rPr>
        <w:t>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2026 (Schedule, Part 2)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1(m). [¶¶ 74 to 77] The Respondent's outline of Ms Taylor's evidence, served 24 September 2026, states that, acting on HR's advice, she removed the email of 15 May 2024 from the shared Switchboard inbox. On 21 May 2024 at 2:53 pm the Director asked which changes or directives had concerned him. [¶¶ 79 to 80]</w:t>
      </w:r>
    </w:p>
    <w:p>
      <w:pPr>
        <w:spacing w:before="0" w:after="100" w:line="264" w:lineRule="auto"/>
      </w:pPr>
      <w:r>
        <w:rPr>
          <w:rFonts w:ascii="Arial" w:hAnsi="Arial" w:cs="Arial"/>
          <w:b/>
          <w:sz w:val="20"/>
          <w:szCs w:val="20"/>
        </w:rPr>
        <w:t xml:space="preserve">1(j) On call roster circulated (13 May 2024). </w:t>
      </w:r>
      <w:r>
        <w:rPr>
          <w:rFonts w:ascii="Arial" w:hAnsi="Arial" w:cs="Arial"/>
          <w:b w:val="0"/>
          <w:sz w:val="20"/>
          <w:szCs w:val="20"/>
        </w:rPr>
        <w:t>On 13 May 2024 at 4:29 pm the on-call roster for the fortnight beginning that day was circulated to the Switchboard team. [¶¶ 111 to 112]</w:t>
      </w:r>
    </w:p>
    <w:p>
      <w:pPr>
        <w:spacing w:before="0" w:after="100" w:line="264" w:lineRule="auto"/>
      </w:pPr>
      <w:r>
        <w:rPr>
          <w:rFonts w:ascii="Arial" w:hAnsi="Arial" w:cs="Arial"/>
          <w:b/>
          <w:sz w:val="20"/>
          <w:szCs w:val="20"/>
        </w:rPr>
        <w:t xml:space="preserve">1(k) Absence notification instructions (14 to 15 May 2024). </w:t>
      </w:r>
      <w:r>
        <w:rPr>
          <w:rFonts w:ascii="Arial" w:hAnsi="Arial" w:cs="Arial"/>
          <w:b w:val="0"/>
          <w:sz w:val="20"/>
          <w:szCs w:val="20"/>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pPr>
      <w:r>
        <w:rPr>
          <w:rFonts w:ascii="Arial" w:hAnsi="Arial" w:cs="Arial"/>
          <w:sz w:val="20"/>
          <w:szCs w:val="20"/>
        </w:rPr>
        <w:t>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1(l) Respiratory directory error and requests for correction (15 to 20 May 2024). </w:t>
      </w:r>
      <w:r>
        <w:rPr>
          <w:rFonts w:ascii="Arial" w:hAnsi="Arial" w:cs="Arial"/>
          <w:b w:val="0"/>
          <w:sz w:val="20"/>
          <w:szCs w:val="20"/>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The Respondent does not allege that any response was made to that email before 20 May 2024. [¶ 90]</w:t>
      </w:r>
    </w:p>
    <w:p>
      <w:pPr>
        <w:spacing w:before="0" w:after="100" w:line="264" w:lineRule="auto"/>
      </w:pPr>
      <w:r>
        <w:rPr>
          <w:rFonts w:ascii="Arial" w:hAnsi="Arial" w:cs="Arial"/>
          <w:sz w:val="20"/>
          <w:szCs w:val="20"/>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The Respondent does not allege that any response was made to that email before 2:05 pm that day. [¶ 93]</w:t>
      </w:r>
    </w:p>
    <w:p>
      <w:pPr>
        <w:spacing w:before="0" w:after="100" w:line="264" w:lineRule="auto"/>
      </w:pPr>
      <w:r>
        <w:rPr>
          <w:rFonts w:ascii="Arial" w:hAnsi="Arial" w:cs="Arial"/>
          <w:sz w:val="20"/>
          <w:szCs w:val="20"/>
        </w:rPr>
        <w:t>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sz w:val="20"/>
          <w:szCs w:val="20"/>
        </w:rPr>
        <w:t>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1(m) Office hours request and the retraction response (15 to 21 May 2024). </w:t>
      </w:r>
      <w:r>
        <w:rPr>
          <w:rFonts w:ascii="Arial" w:hAnsi="Arial" w:cs="Arial"/>
          <w:b w:val="0"/>
          <w:sz w:val="20"/>
          <w:szCs w:val="20"/>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At 7:09 pm the Appellant replied that "Requesting clarity on business hours is a reasonable question". [¶ 78]</w:t>
      </w:r>
    </w:p>
    <w:p>
      <w:pPr>
        <w:spacing w:before="0" w:after="100" w:line="264" w:lineRule="auto"/>
      </w:pPr>
      <w:r>
        <w:rPr>
          <w:rFonts w:ascii="Arial" w:hAnsi="Arial" w:cs="Arial"/>
          <w:sz w:val="20"/>
          <w:szCs w:val="20"/>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b/>
          <w:sz w:val="20"/>
          <w:szCs w:val="20"/>
        </w:rPr>
        <w:t xml:space="preserve">So the request for the Manager's office hours was made at 1:15 pm on 15 May 2024. </w:t>
      </w:r>
      <w:r>
        <w:rPr>
          <w:rFonts w:ascii="Arial" w:hAnsi="Arial" w:cs="Arial"/>
          <w:b w:val="0"/>
          <w:sz w:val="20"/>
          <w:szCs w:val="20"/>
        </w:rPr>
        <w:t>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spacing w:before="0" w:after="100" w:line="264" w:lineRule="auto"/>
      </w:pPr>
      <w:r>
        <w:rPr>
          <w:rFonts w:ascii="Arial" w:hAnsi="Arial" w:cs="Arial"/>
          <w:b/>
          <w:sz w:val="20"/>
          <w:szCs w:val="20"/>
        </w:rPr>
        <w:t xml:space="preserve">1(n) Manager absence notification (18 June 2024). </w:t>
      </w:r>
      <w:r>
        <w:rPr>
          <w:rFonts w:ascii="Arial" w:hAnsi="Arial" w:cs="Arial"/>
          <w:b w:val="0"/>
          <w:sz w:val="20"/>
          <w:szCs w:val="20"/>
        </w:rPr>
        <w:t>On 18 June 2024 at 8:58 am the Manager wrote to Logan Switch: "I am taking today off, and hopefully will be back tomorrow", and "I am sorry I haven't been there for you all over the past week." [¶¶ 85 to 87]</w:t>
      </w:r>
    </w:p>
    <w:p>
      <w:pPr>
        <w:keepNext/>
        <w:spacing w:before="0" w:after="100" w:line="264" w:lineRule="auto"/>
      </w:pPr>
      <w:r>
        <w:rPr>
          <w:rFonts w:ascii="Arial" w:hAnsi="Arial" w:cs="Arial"/>
          <w:b/>
          <w:sz w:val="20"/>
          <w:szCs w:val="20"/>
        </w:rPr>
        <w:t>Supporting records and overlap with the other themes</w:t>
      </w:r>
    </w:p>
    <w:p>
      <w:pPr>
        <w:spacing w:before="0" w:after="100" w:line="264" w:lineRule="auto"/>
      </w:pPr>
      <w:r>
        <w:rPr>
          <w:rFonts w:ascii="Arial" w:hAnsi="Arial" w:cs="Arial"/>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val="0"/>
          <w:sz w:val="20"/>
          <w:szCs w:val="20"/>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pPr>
      <w:r>
        <w:rPr>
          <w:rFonts w:ascii="Arial" w:hAnsi="Arial" w:cs="Arial"/>
          <w:b/>
          <w:sz w:val="20"/>
          <w:szCs w:val="20"/>
        </w:rPr>
        <w:t xml:space="preserve">The rostering concern raised in August 2023 recurred, and the employer's own documents record it. </w:t>
      </w:r>
      <w:r>
        <w:rPr>
          <w:rFonts w:ascii="Arial" w:hAnsi="Arial" w:cs="Arial"/>
          <w:b w:val="0"/>
          <w:sz w:val="20"/>
          <w:szCs w:val="20"/>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pPr>
      <w:commentRangeStart w:id="2"/>
      <w:r>
        <w:rPr>
          <w:rFonts w:ascii="Arial" w:hAnsi="Arial" w:cs="Arial"/>
          <w:b/>
          <w:sz w:val="20"/>
          <w:szCs w:val="20"/>
        </w:rPr>
        <w:t xml:space="preserve">Context and the Respondent's pleaded position. </w:t>
      </w:r>
      <w:r>
        <w:rPr>
          <w:rFonts w:ascii="Arial" w:hAnsi="Arial" w:cs="Arial"/>
          <w:b w:val="0"/>
          <w:sz w:val="20"/>
          <w:szCs w:val="20"/>
        </w:rPr>
        <w:t>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1(a), 1(c), 1(e) and 1(i),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and 1(j) to 1(n), read with the opening duties and standards and the supporting records.</w:t>
      </w:r>
      <w:commentRangeEnd w:id="2"/>
      <w:r>
        <w:rPr>
          <w:rStyle w:val="CommentReference"/>
        </w:rPr>
      </w:r>
    </w:p>
    <w:p>
      <w:pPr>
        <w:spacing w:before="80" w:after="140" w:line="264" w:lineRule="auto"/>
      </w:pPr>
      <w:r>
        <w:rPr>
          <w:rFonts w:ascii="Arial" w:hAnsi="Arial" w:cs="Arial"/>
          <w:b/>
          <w:sz w:val="20"/>
          <w:szCs w:val="20"/>
        </w:rPr>
        <w:t xml:space="preserve">The medical link - Stressor 1. </w:t>
      </w:r>
      <w:r>
        <w:rPr>
          <w:rFonts w:ascii="Arial" w:hAnsi="Arial" w:cs="Arial"/>
          <w:sz w:val="20"/>
          <w:szCs w:val="20"/>
        </w:rPr>
        <w:t>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pPr>
      <w:r>
        <w:rPr>
          <w:rFonts w:ascii="Arial" w:hAnsi="Arial" w:cs="Arial"/>
          <w:b/>
          <w:sz w:val="22"/>
          <w:szCs w:val="22"/>
        </w:rPr>
        <w:t>STRESSOR 2 - REMUNERATION</w:t>
      </w:r>
    </w:p>
    <w:p>
      <w:pPr>
        <w:spacing w:before="0" w:after="100" w:line="264" w:lineRule="auto"/>
      </w:pPr>
      <w:r>
        <w:rPr>
          <w:rFonts w:ascii="Arial" w:hAnsi="Arial" w:cs="Arial"/>
          <w:b/>
          <w:sz w:val="20"/>
          <w:szCs w:val="20"/>
        </w:rPr>
        <w:t xml:space="preserve">Scope of Stressor 2. </w:t>
      </w:r>
      <w:r>
        <w:rPr>
          <w:rFonts w:ascii="Arial" w:hAnsi="Arial" w:cs="Arial"/>
          <w:b w:val="0"/>
          <w:sz w:val="20"/>
          <w:szCs w:val="20"/>
        </w:rPr>
        <w:t>Particulars 2(a) to 2(j) and 2(l) to 2(n) identify the entitlement and correction events before the certified injury date. Particular 2(k) is the related HR follow-up. Particular 2(o) records a later correction of the earlier error, not an additional cause arising in 2025.</w:t>
      </w:r>
    </w:p>
    <w:p>
      <w:pPr>
        <w:spacing w:before="0" w:after="100" w:line="264" w:lineRule="auto"/>
      </w:pPr>
      <w:r>
        <w:rPr>
          <w:rFonts w:ascii="Arial" w:hAnsi="Arial" w:cs="Arial"/>
          <w:b/>
          <w:sz w:val="20"/>
          <w:szCs w:val="20"/>
        </w:rPr>
        <w:t xml:space="preserve">The basis of the entitlement. </w:t>
      </w:r>
      <w:r>
        <w:rPr>
          <w:rFonts w:ascii="Arial" w:hAnsi="Arial" w:cs="Arial"/>
          <w:b w:val="0"/>
          <w:sz w:val="20"/>
          <w:szCs w:val="20"/>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pPr>
      <w:r>
        <w:rPr>
          <w:rFonts w:ascii="Arial" w:hAnsi="Arial" w:cs="Arial"/>
          <w:b/>
          <w:sz w:val="20"/>
          <w:szCs w:val="20"/>
        </w:rPr>
        <w:t xml:space="preserve">Who submitted the recorded corrections. </w:t>
      </w:r>
      <w:r>
        <w:rPr>
          <w:rFonts w:ascii="Arial" w:hAnsi="Arial" w:cs="Arial"/>
          <w:b w:val="0"/>
          <w:sz w:val="20"/>
          <w:szCs w:val="20"/>
        </w:rPr>
        <w:t>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2(a) Seven hours recorded instead of eight (9 February 2024). </w:t>
      </w:r>
      <w:r>
        <w:rPr>
          <w:rFonts w:ascii="Arial" w:hAnsi="Arial" w:cs="Arial"/>
          <w:b w:val="0"/>
          <w:sz w:val="20"/>
          <w:szCs w:val="20"/>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pPr>
      <w:r>
        <w:rPr>
          <w:rFonts w:ascii="Arial" w:hAnsi="Arial" w:cs="Arial"/>
          <w:b/>
          <w:sz w:val="20"/>
          <w:szCs w:val="20"/>
        </w:rPr>
        <w:t xml:space="preserve">2(b) Processing of paid pandemic leave (20 February to 1 March 2024). </w:t>
      </w:r>
      <w:r>
        <w:rPr>
          <w:rFonts w:ascii="Arial" w:hAnsi="Arial" w:cs="Arial"/>
          <w:b w:val="0"/>
          <w:sz w:val="20"/>
          <w:szCs w:val="20"/>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2(c) Second shift recorded as seven hours (28 February 2024). </w:t>
      </w:r>
      <w:r>
        <w:rPr>
          <w:rFonts w:ascii="Arial" w:hAnsi="Arial" w:cs="Arial"/>
          <w:b w:val="0"/>
          <w:sz w:val="20"/>
          <w:szCs w:val="20"/>
        </w:rPr>
        <w:t>The shift of 28 February 2024 was recorded as seven hours instead of eight, and the fortnight commencing 19 February 2024 was topped up from the Appellant’s RDO balance. [¶ 187]</w:t>
      </w:r>
    </w:p>
    <w:p>
      <w:pPr>
        <w:spacing w:before="0" w:after="100" w:line="264" w:lineRule="auto"/>
      </w:pPr>
      <w:r>
        <w:rPr>
          <w:rFonts w:ascii="Arial" w:hAnsi="Arial" w:cs="Arial"/>
          <w:b/>
          <w:sz w:val="20"/>
          <w:szCs w:val="20"/>
        </w:rPr>
        <w:t xml:space="preserve">2(d) Overtime recorded as ordinary shifts (fortnight beginning 18 March 2024). </w:t>
      </w:r>
      <w:r>
        <w:rPr>
          <w:rFonts w:ascii="Arial" w:hAnsi="Arial" w:cs="Arial"/>
          <w:b w:val="0"/>
          <w:sz w:val="20"/>
          <w:szCs w:val="20"/>
        </w:rPr>
        <w:t>The fortnight commencing 18 March 2024, which contained the shift of 18 March, was recorded with too many ordinary shifts, reducing wages, because one of the shifts needed to be overtime. [¶ 188]</w:t>
      </w:r>
    </w:p>
    <w:p>
      <w:pPr>
        <w:spacing w:before="0" w:after="100" w:line="264" w:lineRule="auto"/>
      </w:pPr>
      <w:r>
        <w:rPr>
          <w:rFonts w:ascii="Arial" w:hAnsi="Arial" w:cs="Arial"/>
          <w:b/>
          <w:sz w:val="20"/>
          <w:szCs w:val="20"/>
        </w:rPr>
        <w:t xml:space="preserve">2(e) Public holiday claim submitted late (30 March 2024). </w:t>
      </w:r>
      <w:r>
        <w:rPr>
          <w:rFonts w:ascii="Arial" w:hAnsi="Arial" w:cs="Arial"/>
          <w:b w:val="0"/>
          <w:sz w:val="20"/>
          <w:szCs w:val="20"/>
        </w:rPr>
        <w:t>The public holiday of 30 March 2024 was, on Payroll's later account, "submitted late".</w:t>
      </w:r>
    </w:p>
    <w:p>
      <w:pPr>
        <w:spacing w:before="0" w:after="100" w:line="264" w:lineRule="auto"/>
      </w:pPr>
      <w:r>
        <w:rPr>
          <w:rFonts w:ascii="Arial" w:hAnsi="Arial" w:cs="Arial"/>
          <w:b/>
          <w:sz w:val="20"/>
          <w:szCs w:val="20"/>
        </w:rPr>
        <w:t xml:space="preserve">2(f) Hours above the contracted fortnight (fortnight beginning 1 April 2024). </w:t>
      </w:r>
      <w:r>
        <w:rPr>
          <w:rFonts w:ascii="Arial" w:hAnsi="Arial" w:cs="Arial"/>
          <w:b w:val="0"/>
          <w:sz w:val="20"/>
          <w:szCs w:val="20"/>
        </w:rPr>
        <w:t>The fortnight commencing 1 April 2024 was over the contracted 76 hours, again requiring overtime. [¶ 189]</w:t>
      </w:r>
    </w:p>
    <w:p>
      <w:pPr>
        <w:spacing w:before="0" w:after="100" w:line="264" w:lineRule="auto"/>
      </w:pPr>
      <w:r>
        <w:rPr>
          <w:rFonts w:ascii="Arial" w:hAnsi="Arial" w:cs="Arial"/>
          <w:b/>
          <w:sz w:val="20"/>
          <w:szCs w:val="20"/>
        </w:rPr>
        <w:t xml:space="preserve">2(g) Pay enquiry and public holiday review (8 April to 1 May 2024). </w:t>
      </w:r>
      <w:r>
        <w:rPr>
          <w:rFonts w:ascii="Arial" w:hAnsi="Arial" w:cs="Arial"/>
          <w:b w:val="0"/>
          <w:sz w:val="20"/>
          <w:szCs w:val="20"/>
        </w:rPr>
        <w:t>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w:t>
      </w:r>
    </w:p>
    <w:p>
      <w:pPr>
        <w:spacing w:before="0" w:after="100" w:line="264" w:lineRule="auto"/>
      </w:pPr>
      <w:r>
        <w:rPr>
          <w:rFonts w:ascii="Arial" w:hAnsi="Arial" w:cs="Arial"/>
          <w:b/>
          <w:sz w:val="20"/>
          <w:szCs w:val="20"/>
        </w:rPr>
        <w:t xml:space="preserve">Public holidays on which the Appellant was not required to work. </w:t>
      </w:r>
      <w:r>
        <w:rPr>
          <w:rFonts w:ascii="Arial" w:hAnsi="Arial" w:cs="Arial"/>
          <w:b w:val="0"/>
          <w:sz w:val="20"/>
          <w:szCs w:val="20"/>
        </w:rPr>
        <w:t>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2(h) Payroll directed four fortnight corrections (3 May 2024). </w:t>
      </w:r>
      <w:r>
        <w:rPr>
          <w:rFonts w:ascii="Arial" w:hAnsi="Arial" w:cs="Arial"/>
          <w:b w:val="0"/>
          <w:sz w:val="20"/>
          <w:szCs w:val="20"/>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b/>
          <w:sz w:val="20"/>
          <w:szCs w:val="20"/>
        </w:rPr>
        <w:t xml:space="preserve">2(i) Follow-up found no correction (10 to 13 May 2024). </w:t>
      </w:r>
      <w:r>
        <w:rPr>
          <w:rFonts w:ascii="Arial" w:hAnsi="Arial" w:cs="Arial"/>
          <w:b w:val="0"/>
          <w:sz w:val="20"/>
          <w:szCs w:val="20"/>
        </w:rPr>
        <w:t>On 10 May 2024 at 2:21 pm the Appellant wrote to PayrollMetroSouth and Ms Grant. [¶ 191]</w:t>
      </w:r>
    </w:p>
    <w:p>
      <w:pPr>
        <w:spacing w:before="0" w:after="100" w:line="264" w:lineRule="auto"/>
      </w:pPr>
      <w:r>
        <w:rPr>
          <w:rFonts w:ascii="Arial" w:hAnsi="Arial" w:cs="Arial"/>
          <w:sz w:val="20"/>
          <w:szCs w:val="20"/>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b/>
          <w:sz w:val="20"/>
          <w:szCs w:val="20"/>
        </w:rPr>
        <w:t xml:space="preserve">2(j) A completed AVAC recorded (15 to 16 May 2024). </w:t>
      </w:r>
      <w:r>
        <w:rPr>
          <w:rFonts w:ascii="Arial" w:hAnsi="Arial" w:cs="Arial"/>
          <w:b w:val="0"/>
          <w:sz w:val="20"/>
          <w:szCs w:val="20"/>
        </w:rPr>
        <w:t>The myHR submissions report records a claim with process number 16328886 submitted on 15 May 2024 and completed the next day. [¶ 202]</w:t>
      </w:r>
    </w:p>
    <w:p>
      <w:pPr>
        <w:spacing w:before="0" w:after="100" w:line="264" w:lineRule="auto"/>
      </w:pPr>
      <w:r>
        <w:rPr>
          <w:rFonts w:ascii="Arial" w:hAnsi="Arial" w:cs="Arial"/>
          <w:b/>
          <w:sz w:val="20"/>
          <w:szCs w:val="20"/>
        </w:rPr>
        <w:t xml:space="preserve">2(k) HR follow-up about rostering (20 May 2024). </w:t>
      </w:r>
      <w:r>
        <w:rPr>
          <w:rFonts w:ascii="Arial" w:hAnsi="Arial" w:cs="Arial"/>
          <w:b w:val="0"/>
          <w:sz w:val="20"/>
          <w:szCs w:val="20"/>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2(l) Manager awaited Payroll confirmation (21 May 2024). </w:t>
      </w:r>
      <w:r>
        <w:rPr>
          <w:rFonts w:ascii="Arial" w:hAnsi="Arial" w:cs="Arial"/>
          <w:b w:val="0"/>
          <w:sz w:val="20"/>
          <w:szCs w:val="20"/>
        </w:rPr>
        <w:t>On 21 May 2024 at 12:33 pm the Manager wrote that she was "still I am waiting payroll confirmation". [¶¶ 194 to 195]</w:t>
      </w:r>
    </w:p>
    <w:p>
      <w:pPr>
        <w:spacing w:before="0" w:after="100" w:line="264" w:lineRule="auto"/>
      </w:pPr>
      <w:r>
        <w:rPr>
          <w:rFonts w:ascii="Arial" w:hAnsi="Arial" w:cs="Arial"/>
          <w:b/>
          <w:sz w:val="20"/>
          <w:szCs w:val="20"/>
        </w:rPr>
        <w:t xml:space="preserve">2(m) Validation request and partly completed AVAC (28 to 30 May 2024). </w:t>
      </w:r>
      <w:r>
        <w:rPr>
          <w:rFonts w:ascii="Arial" w:hAnsi="Arial" w:cs="Arial"/>
          <w:b w:val="0"/>
          <w:sz w:val="20"/>
          <w:szCs w:val="20"/>
        </w:rPr>
        <w:t>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sz w:val="20"/>
          <w:szCs w:val="20"/>
        </w:rPr>
        <w:t>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The myHR report records the process numbers and submission dates in the period, and those process numbers increase as submission dates increase. [¶¶ 205 to 206]</w:t>
      </w:r>
    </w:p>
    <w:p>
      <w:pPr>
        <w:spacing w:before="0" w:after="100" w:line="264" w:lineRule="auto"/>
      </w:pPr>
      <w:r>
        <w:rPr>
          <w:rFonts w:ascii="Arial" w:hAnsi="Arial" w:cs="Arial"/>
          <w:b/>
          <w:sz w:val="20"/>
          <w:szCs w:val="20"/>
        </w:rPr>
        <w:t xml:space="preserve">2(n) Three corrections reached a payslip (5 June 2024). </w:t>
      </w:r>
      <w:r>
        <w:rPr>
          <w:rFonts w:ascii="Arial" w:hAnsi="Arial" w:cs="Arial"/>
          <w:b w:val="0"/>
          <w:sz w:val="20"/>
          <w:szCs w:val="20"/>
        </w:rPr>
        <w:t>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b/>
          <w:sz w:val="20"/>
          <w:szCs w:val="20"/>
        </w:rPr>
        <w:t xml:space="preserve">2(o) Later correction of the 9 February shift (30 June to 2 July 2025). </w:t>
      </w:r>
      <w:r>
        <w:rPr>
          <w:rFonts w:ascii="Arial" w:hAnsi="Arial" w:cs="Arial"/>
          <w:b w:val="0"/>
          <w:sz w:val="20"/>
          <w:szCs w:val="20"/>
        </w:rPr>
        <w:t>The shift of 9 February 2024 was not corrected on Payslip 06, pay date 5 June 2024.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pPr>
      <w:r>
        <w:rPr>
          <w:rFonts w:ascii="Arial" w:hAnsi="Arial" w:cs="Arial"/>
          <w:b/>
          <w:sz w:val="20"/>
          <w:szCs w:val="20"/>
        </w:rPr>
        <w:t>The correction chronology read together</w:t>
      </w:r>
    </w:p>
    <w:p>
      <w:pPr>
        <w:spacing w:before="0" w:after="100" w:line="264" w:lineRule="auto"/>
      </w:pPr>
      <w:r>
        <w:rPr>
          <w:rFonts w:ascii="Arial" w:hAnsi="Arial" w:cs="Arial"/>
          <w:b/>
          <w:sz w:val="20"/>
          <w:szCs w:val="20"/>
        </w:rPr>
        <w:t xml:space="preserve">On 3 May Payroll identified all four fortnights and directed the Manager to submit an AVAC for each. </w:t>
      </w:r>
      <w:r>
        <w:rPr>
          <w:rFonts w:ascii="Arial" w:hAnsi="Arial" w:cs="Arial"/>
          <w:b w:val="0"/>
          <w:sz w:val="20"/>
          <w:szCs w:val="20"/>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b/>
          <w:sz w:val="20"/>
          <w:szCs w:val="20"/>
        </w:rPr>
        <w:t xml:space="preserve">So the pay sequence was this. </w:t>
      </w:r>
      <w:r>
        <w:rPr>
          <w:rFonts w:ascii="Arial" w:hAnsi="Arial" w:cs="Arial"/>
          <w:b w:val="0"/>
          <w:sz w:val="20"/>
          <w:szCs w:val="20"/>
        </w:rPr>
        <w:t>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pPr>
      <w:r>
        <w:rPr>
          <w:rFonts w:ascii="Arial" w:hAnsi="Arial" w:cs="Arial"/>
          <w:b/>
          <w:sz w:val="20"/>
          <w:szCs w:val="20"/>
        </w:rPr>
        <w:t>The Respondent's pleaded answer and the record</w:t>
      </w:r>
    </w:p>
    <w:p>
      <w:pPr>
        <w:spacing w:before="0" w:after="100" w:line="264" w:lineRule="auto"/>
      </w:pPr>
      <w:r>
        <w:rPr>
          <w:rFonts w:ascii="Arial" w:hAnsi="Arial" w:cs="Arial"/>
          <w:sz w:val="20"/>
          <w:szCs w:val="20"/>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Neither AVAC PRN 15397775 nor AVAC PRN 15605601 appears in the myHR submissions report. [¶ 210]</w:t>
      </w:r>
    </w:p>
    <w:p>
      <w:pPr>
        <w:spacing w:before="0" w:after="100" w:line="264" w:lineRule="auto"/>
      </w:pPr>
      <w:r>
        <w:rPr>
          <w:rFonts w:ascii="Arial" w:hAnsi="Arial" w:cs="Arial"/>
          <w:sz w:val="20"/>
          <w:szCs w:val="20"/>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 The employer's letter of 5 June 2026 states that there were no consequential changes to operating procedures over the period requested [¶ 266] and how employee complaints were managed [¶ 267], and the Respondent does not allege any change to the operating procedures of the Switchboard as a consequence of any employee complaint before 30 June 2024 [¶ 272]; those facts are pleaded at Stressors 1, supporting records and 3, supporting fatigue records and are repeated here.</w:t>
      </w:r>
    </w:p>
    <w:p>
      <w:pPr>
        <w:spacing w:before="80" w:after="140" w:line="264" w:lineRule="auto"/>
      </w:pPr>
      <w:r>
        <w:rPr>
          <w:rFonts w:ascii="Arial" w:hAnsi="Arial" w:cs="Arial"/>
          <w:b/>
          <w:sz w:val="20"/>
          <w:szCs w:val="20"/>
        </w:rPr>
        <w:t xml:space="preserve">The medical link - Stressor 2. </w:t>
      </w:r>
      <w:r>
        <w:rPr>
          <w:rFonts w:ascii="Arial" w:hAnsi="Arial" w:cs="Arial"/>
          <w:sz w:val="20"/>
          <w:szCs w:val="20"/>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pPr>
      <w:r>
        <w:rPr>
          <w:rFonts w:ascii="Arial" w:hAnsi="Arial" w:cs="Arial"/>
          <w:b/>
          <w:sz w:val="22"/>
          <w:szCs w:val="22"/>
        </w:rPr>
        <w:t>STRESSOR 3 - THE ROSTER AND FATIGUE</w:t>
      </w:r>
    </w:p>
    <w:p>
      <w:pPr>
        <w:spacing w:before="0" w:after="100" w:line="264" w:lineRule="auto"/>
      </w:pPr>
      <w:commentRangeStart w:id="1"/>
      <w:r>
        <w:rPr>
          <w:rFonts w:ascii="Arial" w:hAnsi="Arial" w:cs="Arial"/>
          <w:b/>
          <w:sz w:val="20"/>
          <w:szCs w:val="20"/>
        </w:rPr>
        <w:t xml:space="preserve">Scope of Stressor 3. </w:t>
      </w:r>
      <w:r>
        <w:rPr>
          <w:rFonts w:ascii="Arial" w:hAnsi="Arial" w:cs="Arial"/>
          <w:b w:val="0"/>
          <w:sz w:val="20"/>
          <w:szCs w:val="20"/>
        </w:rPr>
        <w:t>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w:t>
      </w:r>
      <w:commentRangeEnd w:id="1"/>
      <w:r>
        <w:rPr>
          <w:rStyle w:val="CommentReference"/>
        </w:rPr>
      </w:r>
    </w:p>
    <w:p>
      <w:pPr>
        <w:spacing w:before="0" w:after="100" w:line="264" w:lineRule="auto"/>
      </w:pPr>
      <w:r>
        <w:rPr>
          <w:rFonts w:ascii="Arial" w:hAnsi="Arial" w:cs="Arial"/>
          <w:b/>
          <w:sz w:val="20"/>
          <w:szCs w:val="20"/>
        </w:rPr>
        <w:t xml:space="preserve">The standard, as admitted. </w:t>
      </w:r>
      <w:r>
        <w:rPr>
          <w:rFonts w:ascii="Arial" w:hAnsi="Arial" w:cs="Arial"/>
          <w:b w:val="0"/>
          <w:sz w:val="20"/>
          <w:szCs w:val="20"/>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The agreement of 17 June 2020, and its scope. </w:t>
      </w:r>
      <w:r>
        <w:rPr>
          <w:rFonts w:ascii="Arial" w:hAnsi="Arial" w:cs="Arial"/>
          <w:b w:val="0"/>
          <w:sz w:val="20"/>
          <w:szCs w:val="20"/>
        </w:rPr>
        <w:t>On 17 June 2020 the Appellant signed an agreement allowing an 8-hour break between shifts. [¶ 17]</w:t>
      </w:r>
    </w:p>
    <w:p>
      <w:pPr>
        <w:spacing w:before="0" w:after="100" w:line="264" w:lineRule="auto"/>
      </w:pPr>
      <w:r>
        <w:rPr>
          <w:rFonts w:ascii="Arial" w:hAnsi="Arial" w:cs="Arial"/>
          <w:b/>
          <w:sz w:val="20"/>
          <w:szCs w:val="20"/>
        </w:rPr>
        <w:t xml:space="preserve">The change to part-time. </w:t>
      </w:r>
      <w:r>
        <w:rPr>
          <w:rFonts w:ascii="Arial" w:hAnsi="Arial" w:cs="Arial"/>
          <w:b w:val="0"/>
          <w:sz w:val="20"/>
          <w:szCs w:val="20"/>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pPr>
      <w:r>
        <w:rPr>
          <w:rFonts w:ascii="Arial" w:hAnsi="Arial" w:cs="Arial"/>
          <w:b/>
          <w:sz w:val="20"/>
          <w:szCs w:val="20"/>
        </w:rPr>
        <w:t xml:space="preserve">The change to full-time. </w:t>
      </w:r>
      <w:r>
        <w:rPr>
          <w:rFonts w:ascii="Arial" w:hAnsi="Arial" w:cs="Arial"/>
          <w:b w:val="0"/>
          <w:sz w:val="20"/>
          <w:szCs w:val="20"/>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pPr>
      <w:r>
        <w:rPr>
          <w:rFonts w:ascii="Arial" w:hAnsi="Arial" w:cs="Arial"/>
          <w:b/>
          <w:sz w:val="20"/>
          <w:szCs w:val="20"/>
        </w:rPr>
        <w:t xml:space="preserve">The emails. </w:t>
      </w:r>
      <w:r>
        <w:rPr>
          <w:rFonts w:ascii="Arial" w:hAnsi="Arial" w:cs="Arial"/>
          <w:b w:val="0"/>
          <w:sz w:val="20"/>
          <w:szCs w:val="20"/>
        </w:rPr>
        <w:t>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b/>
          <w:sz w:val="20"/>
          <w:szCs w:val="20"/>
        </w:rPr>
        <w:t xml:space="preserve">The Manager and the agreement. </w:t>
      </w:r>
      <w:r>
        <w:rPr>
          <w:rFonts w:ascii="Arial" w:hAnsi="Arial" w:cs="Arial"/>
          <w:b w:val="0"/>
          <w:sz w:val="20"/>
          <w:szCs w:val="20"/>
        </w:rPr>
        <w:t>The review decision records that Ms Sandra Johnstone was the Switchboard Line Manager as at 8 December 2021, that Ms Danielle Cook was the "previous Switchboard Manager", and that "Ms Taylor was subsequently appointed to the Switchboard Manager role". [¶¶ 23 to 24] The Respondent does not allege that Ms Taylor was the Switchboard Manager on 17 June 2020. [¶ 25]</w:t>
      </w:r>
    </w:p>
    <w:p>
      <w:pPr>
        <w:spacing w:before="0" w:after="100" w:line="264" w:lineRule="auto"/>
      </w:pPr>
      <w:r>
        <w:rPr>
          <w:rFonts w:ascii="Arial" w:hAnsi="Arial" w:cs="Arial"/>
          <w:b/>
          <w:sz w:val="20"/>
          <w:szCs w:val="20"/>
        </w:rPr>
        <w:t xml:space="preserve">The rest of the record on the agreement. </w:t>
      </w:r>
      <w:r>
        <w:rPr>
          <w:rFonts w:ascii="Arial" w:hAnsi="Arial" w:cs="Arial"/>
          <w:b w:val="0"/>
          <w:sz w:val="20"/>
          <w:szCs w:val="20"/>
        </w:rPr>
        <w:t>The Respondent does not allege that the agreement was reviewed, re-executed or re-confirmed at any time between 17 June 2020 and 18 March 2024 [¶ 21], or that the Appellant was informed, at any time before 1 May 2024, that it could be terminated by him.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pPr>
      <w:r>
        <w:rPr>
          <w:rFonts w:ascii="Arial" w:hAnsi="Arial" w:cs="Arial"/>
          <w:b/>
          <w:sz w:val="20"/>
          <w:szCs w:val="20"/>
        </w:rPr>
        <w:t xml:space="preserve">The Appellant's contention on the agreement. </w:t>
      </w:r>
      <w:r>
        <w:rPr>
          <w:rFonts w:ascii="Arial" w:hAnsi="Arial" w:cs="Arial"/>
          <w:b w:val="0"/>
          <w:sz w:val="20"/>
          <w:szCs w:val="20"/>
        </w:rPr>
        <w:t>The Appellant disputes the agreement’s application to these shifts and relies on the admitted facts above and the HR account of 7 July 2026. That email was written in July 2026 and describes the practice then stated; its application to March 2024 is a contention for determination. Alternatively, even if the agreement applied in March 2024, a seven-hour interval was below eight hours.</w:t>
      </w:r>
    </w:p>
    <w:p>
      <w:pPr>
        <w:spacing w:before="0" w:after="100" w:line="264" w:lineRule="auto"/>
      </w:pPr>
      <w:r>
        <w:rPr>
          <w:rFonts w:ascii="Arial" w:hAnsi="Arial" w:cs="Arial"/>
          <w:sz w:val="20"/>
          <w:szCs w:val="20"/>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The emergency workload on those shifts. </w:t>
      </w:r>
      <w:r>
        <w:rPr>
          <w:rFonts w:ascii="Arial" w:hAnsi="Arial" w:cs="Arial"/>
          <w:b w:val="0"/>
          <w:sz w:val="20"/>
          <w:szCs w:val="20"/>
        </w:rPr>
        <w:t>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The codes. </w:t>
      </w:r>
      <w:r>
        <w:rPr>
          <w:rFonts w:ascii="Arial" w:hAnsi="Arial" w:cs="Arial"/>
          <w:b w:val="0"/>
          <w:sz w:val="20"/>
          <w:szCs w:val="20"/>
        </w:rPr>
        <w:t>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The employer's own fatigue policy. </w:t>
      </w:r>
      <w:r>
        <w:rPr>
          <w:rFonts w:ascii="Arial" w:hAnsi="Arial" w:cs="Arial"/>
          <w:b w:val="0"/>
          <w:sz w:val="20"/>
          <w:szCs w:val="20"/>
        </w:rPr>
        <w:t>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3(a) Earlier roster error and proposed roster (7 August to 4 September 2023). </w:t>
      </w:r>
      <w:r>
        <w:rPr>
          <w:rFonts w:ascii="Arial" w:hAnsi="Arial" w:cs="Arial"/>
          <w:b w:val="0"/>
          <w:sz w:val="20"/>
          <w:szCs w:val="20"/>
        </w:rPr>
        <w:t>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3(b) Consecutive shifts and the seven-hour break (17 to 18 March 2024). </w:t>
      </w:r>
      <w:r>
        <w:rPr>
          <w:rFonts w:ascii="Arial" w:hAnsi="Arial" w:cs="Arial"/>
          <w:b w:val="0"/>
          <w:sz w:val="20"/>
          <w:szCs w:val="20"/>
        </w:rPr>
        <w:t>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pPr>
      <w:r>
        <w:rPr>
          <w:rFonts w:ascii="Arial" w:hAnsi="Arial" w:cs="Arial"/>
          <w:sz w:val="20"/>
          <w:szCs w:val="20"/>
        </w:rPr>
        <w:t>The Respondent does not allege that those consecutive shifts arose from a staff-initiated shift swap. [¶ 234]</w:t>
      </w:r>
    </w:p>
    <w:p>
      <w:pPr>
        <w:spacing w:before="0" w:after="100" w:line="264" w:lineRule="auto"/>
      </w:pPr>
      <w:r>
        <w:rPr>
          <w:rFonts w:ascii="Arial" w:hAnsi="Arial" w:cs="Arial"/>
          <w:sz w:val="20"/>
          <w:szCs w:val="20"/>
        </w:rPr>
        <w:t>The agreement of 17 June 2020, the Appellant's submission that it "was no longer fit for purpose" after his transition, and the surrounding matters as to it are pleaded under the agreement heading above. [¶¶ 17 to 25]</w:t>
      </w:r>
    </w:p>
    <w:p>
      <w:pPr>
        <w:spacing w:before="0" w:after="100" w:line="264" w:lineRule="auto"/>
      </w:pPr>
      <w:r>
        <w:rPr>
          <w:rFonts w:ascii="Arial" w:hAnsi="Arial" w:cs="Arial"/>
          <w:b/>
          <w:sz w:val="20"/>
          <w:szCs w:val="20"/>
        </w:rPr>
        <w:t xml:space="preserve">The rest recorded between those shifts. </w:t>
      </w:r>
      <w:r>
        <w:rPr>
          <w:rFonts w:ascii="Arial" w:hAnsi="Arial" w:cs="Arial"/>
          <w:b w:val="0"/>
          <w:sz w:val="20"/>
          <w:szCs w:val="20"/>
        </w:rPr>
        <w:t>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The codes on the shift of 17 March 2024. </w:t>
      </w:r>
      <w:r>
        <w:rPr>
          <w:rFonts w:ascii="Arial" w:hAnsi="Arial" w:cs="Arial"/>
          <w:b w:val="0"/>
          <w:sz w:val="20"/>
          <w:szCs w:val="20"/>
        </w:rPr>
        <w:t>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The codes on the shift of 18 March 2024. </w:t>
      </w:r>
      <w:r>
        <w:rPr>
          <w:rFonts w:ascii="Arial" w:hAnsi="Arial" w:cs="Arial"/>
          <w:b w:val="0"/>
          <w:sz w:val="20"/>
          <w:szCs w:val="20"/>
        </w:rPr>
        <w:t>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sz w:val="20"/>
          <w:szCs w:val="20"/>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The ordinary call load, and the Monday. </w:t>
      </w:r>
      <w:r>
        <w:rPr>
          <w:rFonts w:ascii="Arial" w:hAnsi="Arial" w:cs="Arial"/>
          <w:b w:val="0"/>
          <w:sz w:val="20"/>
          <w:szCs w:val="20"/>
        </w:rPr>
        <w:t>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3(c) Sick leave after the consecutive shifts (19 March 2024). </w:t>
      </w:r>
      <w:r>
        <w:rPr>
          <w:rFonts w:ascii="Arial" w:hAnsi="Arial" w:cs="Arial"/>
          <w:b w:val="0"/>
          <w:sz w:val="20"/>
          <w:szCs w:val="20"/>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b w:val="0"/>
          <w:sz w:val="20"/>
          <w:szCs w:val="20"/>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pPr>
      <w:r>
        <w:rPr>
          <w:rFonts w:ascii="Arial" w:hAnsi="Arial" w:cs="Arial"/>
          <w:b/>
          <w:sz w:val="20"/>
          <w:szCs w:val="20"/>
        </w:rPr>
        <w:t xml:space="preserve">The codes on 19 March 2024, the day of the sick leave. </w:t>
      </w:r>
      <w:r>
        <w:rPr>
          <w:rFonts w:ascii="Arial" w:hAnsi="Arial" w:cs="Arial"/>
          <w:b w:val="0"/>
          <w:sz w:val="20"/>
          <w:szCs w:val="20"/>
        </w:rPr>
        <w:t>Sick leave of 7.60 hours was taken that day. [¶ 235] The register records sixteen codes on 19 March 2024, six of them between 06:00 and 14:00: a Paediatric MET call, a simulation, and four adult MET calls, one of which, at 11:34 to Ward 2I bed 20, is annotated "CALLED VIA SWITRCHBOARD" [sic].</w:t>
      </w:r>
    </w:p>
    <w:p>
      <w:pPr>
        <w:spacing w:before="0" w:after="100" w:line="264" w:lineRule="auto"/>
      </w:pPr>
      <w:r>
        <w:rPr>
          <w:rFonts w:ascii="Arial" w:hAnsi="Arial" w:cs="Arial"/>
          <w:b/>
          <w:sz w:val="20"/>
          <w:szCs w:val="20"/>
        </w:rPr>
        <w:t xml:space="preserve">3(d) Fatigue enquiry and refusal (8 April to 1 May 2024). </w:t>
      </w:r>
      <w:r>
        <w:rPr>
          <w:rFonts w:ascii="Arial" w:hAnsi="Arial" w:cs="Arial"/>
          <w:b w:val="0"/>
          <w:sz w:val="20"/>
          <w:szCs w:val="20"/>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3(e) Roster line error and proposed alternatives (16 to 26 April 2024). </w:t>
      </w:r>
      <w:r>
        <w:rPr>
          <w:rFonts w:ascii="Arial" w:hAnsi="Arial" w:cs="Arial"/>
          <w:b w:val="0"/>
          <w:sz w:val="20"/>
          <w:szCs w:val="20"/>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The Respondent does not allege that she got in touch with him about alternative shifts following that meeting. [¶ 213]</w:t>
      </w:r>
    </w:p>
    <w:p>
      <w:pPr>
        <w:spacing w:before="0" w:after="100" w:line="264" w:lineRule="auto"/>
      </w:pPr>
      <w:r>
        <w:rPr>
          <w:rFonts w:ascii="Arial" w:hAnsi="Arial" w:cs="Arial"/>
          <w:b/>
          <w:sz w:val="20"/>
          <w:szCs w:val="20"/>
        </w:rPr>
        <w:t xml:space="preserve">3(f) Fatigue toolkit raised and HR advice awaited (1 to 8 May 2024). </w:t>
      </w:r>
      <w:r>
        <w:rPr>
          <w:rFonts w:ascii="Arial" w:hAnsi="Arial" w:cs="Arial"/>
          <w:b w:val="0"/>
          <w:sz w:val="20"/>
          <w:szCs w:val="20"/>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The Respondent does not allege that the toolkit was reviewed or that any feedback was provided before 18 June 2024. [¶ 216]</w:t>
      </w:r>
    </w:p>
    <w:p>
      <w:pPr>
        <w:spacing w:before="0" w:after="100" w:line="264" w:lineRule="auto"/>
      </w:pPr>
      <w:r>
        <w:rPr>
          <w:rFonts w:ascii="Arial" w:hAnsi="Arial" w:cs="Arial"/>
          <w:sz w:val="20"/>
          <w:szCs w:val="20"/>
        </w:rPr>
        <w:t>On 8 May 2024 at 9:08 am the Director replied that she was following up with HR for further advice and would get back to him as soon as possible. [¶ 217]</w:t>
      </w:r>
    </w:p>
    <w:p>
      <w:pPr>
        <w:spacing w:before="0" w:after="100" w:line="264" w:lineRule="auto"/>
      </w:pPr>
      <w:r>
        <w:rPr>
          <w:rFonts w:ascii="Arial" w:hAnsi="Arial" w:cs="Arial"/>
          <w:b/>
          <w:sz w:val="20"/>
          <w:szCs w:val="20"/>
        </w:rPr>
        <w:t xml:space="preserve">3(g) Risk rating and roster decision recorded (10 May 2024). </w:t>
      </w:r>
      <w:r>
        <w:rPr>
          <w:rFonts w:ascii="Arial" w:hAnsi="Arial" w:cs="Arial"/>
          <w:b w:val="0"/>
          <w:sz w:val="20"/>
          <w:szCs w:val="20"/>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She stated: "I acknowledge there has been a few rostering errors made by Chloe with regards to Cory's line in past rosters". [¶ 220]</w:t>
      </w:r>
    </w:p>
    <w:p>
      <w:pPr>
        <w:spacing w:before="0" w:after="100" w:line="264" w:lineRule="auto"/>
      </w:pPr>
      <w:r>
        <w:rPr>
          <w:rFonts w:ascii="Arial" w:hAnsi="Arial" w:cs="Arial"/>
          <w:sz w:val="20"/>
          <w:szCs w:val="20"/>
        </w:rP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3(h) HR follow-up with the fatigue guideline (20 May 2024). </w:t>
      </w:r>
      <w:r>
        <w:rPr>
          <w:rFonts w:ascii="Arial" w:hAnsi="Arial" w:cs="Arial"/>
          <w:b w:val="0"/>
          <w:sz w:val="20"/>
          <w:szCs w:val="20"/>
        </w:rPr>
        <w:t>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keepNext/>
        <w:spacing w:before="0" w:after="100" w:line="264" w:lineRule="auto"/>
      </w:pPr>
      <w:commentRangeStart w:id="3"/>
      <w:r>
        <w:rPr>
          <w:rFonts w:ascii="Arial" w:hAnsi="Arial" w:cs="Arial"/>
          <w:b/>
          <w:sz w:val="20"/>
          <w:szCs w:val="20"/>
        </w:rPr>
        <w:t>Supporting records about the fatigue arrangements</w:t>
      </w:r>
      <w:commentRangeEnd w:id="3"/>
      <w:r>
        <w:rPr>
          <w:rStyle w:val="CommentReference"/>
        </w:rPr>
      </w:r>
    </w:p>
    <w:p>
      <w:pPr>
        <w:spacing w:before="0" w:after="100" w:line="264" w:lineRule="auto"/>
      </w:pPr>
      <w:r>
        <w:rPr>
          <w:rFonts w:ascii="Arial" w:hAnsi="Arial" w:cs="Arial"/>
          <w:b/>
          <w:sz w:val="20"/>
          <w:szCs w:val="20"/>
        </w:rPr>
        <w:t xml:space="preserve">Implementation and records of fatigue risk management. </w:t>
      </w:r>
      <w:r>
        <w:rPr>
          <w:rFonts w:ascii="Arial" w:hAnsi="Arial" w:cs="Arial"/>
          <w:b w:val="0"/>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Where the framework came from. </w:t>
      </w:r>
      <w:r>
        <w:rPr>
          <w:rFonts w:ascii="Arial" w:hAnsi="Arial" w:cs="Arial"/>
          <w:b w:val="0"/>
          <w:sz w:val="20"/>
          <w:szCs w:val="20"/>
        </w:rPr>
        <w:t>The guideline's references list "Queensland Ombudsman (2006). The Neville Report". [p 31, section 12] That report followed the death of Elise Neville, aged 10, after her presentation to the Caloundra Hospital emergency department in January 2002, where the only doctor on duty was "in the 20th hour of a continuous shift". The Ombudsman identified "unsafe working hours for junior doctors" and "rostering practices that required excessive hours of work" among the systemic flaws found, wrote that "anyone who is in the 20th hour of a continuous shift must have reduced capacity to assess the situation when it presents itself", and recommended that Queensland Health determine "an interim standard on safe working hours for doctors in public hospitals" and implement "management practices aimed at alleviating the ill-effects of excessive working hours" (Recommendations 4 and 5). Queensland Health's Policy on Medical Fatigue Risk Management took effect on 1 July 2008 and required each health service district to "develop, implement and maintain a fatigue risk management system" for medical officers (Queensland Ombudsman, The Neville Report Update, 2011). The resource pack of December 2018 and the 2021 guideline that replaced it apply the system to every "worker" of a Hospital and Health Service, including "An employee". [pp 29 to 30, section 10; p 30, section 11] The Chief Executive's letter of 5 June 2026 states that the mandatory training "only applies to health practitioners and clinical assistants" and that assessment at the Switchboard was implemented after 30 June 2024. [¶¶ 264 to 265] The Switchboard is where the codes are received and paged. [¶ 8]</w:t>
      </w:r>
    </w:p>
    <w:p>
      <w:pPr>
        <w:keepNext/>
        <w:spacing w:before="0" w:after="100" w:line="264" w:lineRule="auto"/>
      </w:pPr>
      <w:r>
        <w:rPr>
          <w:rFonts w:ascii="Arial" w:hAnsi="Arial" w:cs="Arial"/>
          <w:b/>
          <w:sz w:val="20"/>
          <w:szCs w:val="20"/>
        </w:rPr>
        <w:t>Findings recorded in the decision under appeal</w:t>
      </w:r>
    </w:p>
    <w:p>
      <w:pPr>
        <w:spacing w:before="0" w:after="100" w:line="264" w:lineRule="auto"/>
      </w:pPr>
      <w:r>
        <w:rPr>
          <w:rFonts w:ascii="Arial" w:hAnsi="Arial" w:cs="Arial"/>
          <w:b/>
          <w:sz w:val="20"/>
          <w:szCs w:val="20"/>
        </w:rPr>
        <w:t xml:space="preserve">The findings in the decision under appeal. </w:t>
      </w:r>
      <w:r>
        <w:rPr>
          <w:rFonts w:ascii="Arial" w:hAnsi="Arial" w:cs="Arial"/>
          <w:b w:val="0"/>
          <w:sz w:val="20"/>
          <w:szCs w:val="20"/>
        </w:rPr>
        <w:t>The review decision states: "The break between the shift on 17 March 2024 and 18 March 2024 equated to 7 hours." [¶ 258]</w:t>
      </w:r>
    </w:p>
    <w:p>
      <w:pPr>
        <w:spacing w:before="0" w:after="100" w:line="264" w:lineRule="auto"/>
      </w:pPr>
      <w:r>
        <w:rPr>
          <w:rFonts w:ascii="Arial" w:hAnsi="Arial" w:cs="Arial"/>
          <w:sz w:val="20"/>
          <w:szCs w:val="20"/>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It states, under the heading "Conclusion", that the Appellant "sustained a personal injury of a psychological nature". [¶ 261]</w:t>
      </w:r>
    </w:p>
    <w:p>
      <w:pPr>
        <w:spacing w:before="0" w:after="100" w:line="264" w:lineRule="auto"/>
      </w:pPr>
      <w:r>
        <w:rPr>
          <w:rFonts w:ascii="Arial" w:hAnsi="Arial" w:cs="Arial"/>
          <w:sz w:val="20"/>
          <w:szCs w:val="20"/>
        </w:rPr>
        <w:t>It states that his injury "arose out of employment, to the extent that it arose out of factors 2, 3 and 4, where employment was a significant contributing factor". [¶ 262]</w:t>
      </w:r>
    </w:p>
    <w:p>
      <w:pPr>
        <w:keepNext/>
        <w:spacing w:before="0" w:after="100" w:line="264" w:lineRule="auto"/>
      </w:pPr>
      <w:r>
        <w:rPr>
          <w:rFonts w:ascii="Arial" w:hAnsi="Arial" w:cs="Arial"/>
          <w:b/>
          <w:sz w:val="20"/>
          <w:szCs w:val="20"/>
        </w:rPr>
        <w:t>The Respondent's pleaded answer and subsequent roster proposal</w:t>
      </w:r>
    </w:p>
    <w:p>
      <w:pPr>
        <w:spacing w:before="0" w:after="100" w:line="264" w:lineRule="auto"/>
      </w:pPr>
      <w:r>
        <w:rPr>
          <w:rFonts w:ascii="Arial" w:hAnsi="Arial" w:cs="Arial"/>
          <w:sz w:val="20"/>
          <w:szCs w:val="20"/>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The Respondent's pleaded position on the roster. </w:t>
      </w:r>
      <w:r>
        <w:rPr>
          <w:rFonts w:ascii="Arial" w:hAnsi="Arial" w:cs="Arial"/>
          <w:b w:val="0"/>
          <w:sz w:val="20"/>
          <w:szCs w:val="20"/>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Beyond the agreement and the sick-leave matters at 3(c),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spacing w:before="80" w:after="140" w:line="264" w:lineRule="auto"/>
      </w:pPr>
      <w:r>
        <w:rPr>
          <w:rFonts w:ascii="Arial" w:hAnsi="Arial" w:cs="Arial"/>
          <w:b/>
          <w:sz w:val="20"/>
          <w:szCs w:val="20"/>
        </w:rPr>
        <w:t xml:space="preserve">The medical link - Stressor 3. </w:t>
      </w:r>
      <w:r>
        <w:rPr>
          <w:rFonts w:ascii="Arial" w:hAnsi="Arial" w:cs="Arial"/>
          <w:sz w:val="20"/>
          <w:szCs w:val="20"/>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spacing w:before="80" w:after="140" w:line="264" w:lineRule="auto"/>
      </w:pPr>
      <w:r>
        <w:rPr>
          <w:rFonts w:ascii="Arial" w:hAnsi="Arial" w:cs="Arial"/>
          <w:b/>
          <w:sz w:val="20"/>
          <w:szCs w:val="20"/>
        </w:rPr>
        <w:t xml:space="preserve">The medical case as a whole. </w:t>
      </w:r>
      <w:r>
        <w:rPr>
          <w:rFonts w:ascii="Arial" w:hAnsi="Arial" w:cs="Arial"/>
          <w:sz w:val="20"/>
          <w:szCs w:val="20"/>
        </w:rPr>
        <w:t>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3. What happened after the injury, and the record made at the time</w:t>
      </w:r>
    </w:p>
    <w:p>
      <w:pPr>
        <w:spacing w:before="0" w:after="100" w:line="264" w:lineRule="auto"/>
      </w:pPr>
      <w:commentRangeStart w:id="4"/>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while he held continuous medical certificates;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commentRangeEnd w:id="4"/>
      <w:r>
        <w:rPr>
          <w:rStyle w:val="CommentReference"/>
        </w:rPr>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b w:val="0"/>
          <w:sz w:val="20"/>
          <w:szCs w:val="20"/>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4. The intervals</w:t>
      </w:r>
    </w:p>
    <w:p>
      <w:pPr>
        <w:spacing w:before="0" w:after="100" w:line="264" w:lineRule="auto"/>
      </w:pPr>
      <w:r>
        <w:rPr>
          <w:rFonts w:ascii="Arial" w:hAnsi="Arial" w:cs="Arial"/>
          <w:b/>
          <w:sz w:val="20"/>
          <w:szCs w:val="20"/>
        </w:rPr>
        <w:t xml:space="preserve">The intervals below are worked out from admitted dates and times or from the specifically identified Payroll disclosure. </w:t>
      </w:r>
      <w:r>
        <w:rPr>
          <w:rFonts w:ascii="Arial" w:hAnsi="Arial" w:cs="Arial"/>
          <w:b w:val="0"/>
          <w:sz w:val="20"/>
          <w:szCs w:val="20"/>
        </w:rPr>
        <w:t>They are arithmetic only. They do not depend on whether any statement in a document is true. Each is pleaded in its place in Part B.2; this table collects them.</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722"/>
        <w:gridCol w:w="1927"/>
        <w:gridCol w:w="1638"/>
        <w:gridCol w:w="1349"/>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Interval</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Length</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Where pleaded</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Facts</w:t>
            </w:r>
          </w:p>
        </w:tc>
      </w:tr>
      <w:tr>
        <w:trPr/>
        <w:tc>
          <w:tcPr>
            <w:tcMar>
              <w:top w:w="65" w:type="dxa"/>
              <w:left w:w="80" w:type="dxa"/>
              <w:bottom w:w="65" w:type="dxa"/>
              <w:right w:w="80" w:type="dxa"/>
            </w:tcMar>
          </w:tcPr>
          <w:p>
            <w:r>
              <w:rPr>
                <w:rFonts w:ascii="Arial" w:hAnsi="Arial"/>
                <w:color w:val="000000"/>
                <w:sz w:val="18"/>
              </w:rPr>
              <w:t>Rostered finish on 17 March 2024 at 23:00 to rostered start on 18 March 2024 at 06:00. The Appellant relies on the ten-hour minimum or, alternatively, eight hours if the agreement applied; the travel account is separately identified.</w:t>
            </w:r>
          </w:p>
        </w:tc>
        <w:tc>
          <w:tcPr>
            <w:tcMar>
              <w:top w:w="65" w:type="dxa"/>
              <w:left w:w="80" w:type="dxa"/>
              <w:bottom w:w="65" w:type="dxa"/>
              <w:right w:w="80" w:type="dxa"/>
            </w:tcMar>
          </w:tcPr>
          <w:p>
            <w:pPr>
              <w:spacing w:after="0"/>
            </w:pPr>
            <w:r>
              <w:rPr>
                <w:rFonts w:ascii="Arial" w:hAnsi="Arial" w:cs="Arial"/>
                <w:color w:val="000000"/>
                <w:sz w:val="17"/>
                <w:szCs w:val="17"/>
              </w:rPr>
              <w:t xml:space="preserve">7 hours</w:t>
            </w:r>
          </w:p>
        </w:tc>
        <w:tc>
          <w:tcPr>
            <w:tcMar>
              <w:top w:w="65" w:type="dxa"/>
              <w:left w:w="80" w:type="dxa"/>
              <w:bottom w:w="65" w:type="dxa"/>
              <w:right w:w="80" w:type="dxa"/>
            </w:tcMar>
          </w:tcPr>
          <w:p>
            <w:r>
              <w:rPr>
                <w:rFonts w:ascii="Arial" w:hAnsi="Arial"/>
                <w:color w:val="000000"/>
                <w:sz w:val="18"/>
              </w:rPr>
              <w:t>3(b); Stressor 3 minimum-break and review-decision paragraphs</w:t>
            </w:r>
          </w:p>
        </w:tc>
        <w:tc>
          <w:tcPr>
            <w:tcMar>
              <w:top w:w="65" w:type="dxa"/>
              <w:left w:w="80" w:type="dxa"/>
              <w:bottom w:w="65" w:type="dxa"/>
              <w:right w:w="80" w:type="dxa"/>
            </w:tcMar>
          </w:tcPr>
          <w:p>
            <w:pPr>
              <w:spacing w:after="0"/>
            </w:pPr>
            <w:r>
              <w:rPr>
                <w:rFonts w:ascii="Arial" w:hAnsi="Arial" w:cs="Arial"/>
                <w:color w:val="000000"/>
                <w:sz w:val="17"/>
                <w:szCs w:val="17"/>
              </w:rPr>
              <w:t xml:space="preserve">¶¶ 284 to 285, 225, 234, 251, 260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MASPER Registrar's first report, 3 May 2024 at 3:06 pm, to the first reply, 9 May 2024 at 9:20 am (her second report was sent on the fifth calendar day; the reply on the sixth)</w:t>
            </w:r>
          </w:p>
        </w:tc>
        <w:tc>
          <w:tcPr>
            <w:tcMar>
              <w:top w:w="65" w:type="dxa"/>
              <w:left w:w="80" w:type="dxa"/>
              <w:bottom w:w="65" w:type="dxa"/>
              <w:right w:w="80" w:type="dxa"/>
            </w:tcMar>
          </w:tcPr>
          <w:p>
            <w:pPr>
              <w:spacing w:after="0"/>
            </w:pPr>
            <w:r>
              <w:rPr>
                <w:rFonts w:ascii="Arial" w:hAnsi="Arial" w:cs="Arial"/>
                <w:color w:val="000000"/>
                <w:sz w:val="17"/>
                <w:szCs w:val="17"/>
              </w:rPr>
              <w:t xml:space="preserve">5 days, 18 hours, 14 minutes</w:t>
            </w:r>
          </w:p>
        </w:tc>
        <w:tc>
          <w:tcPr>
            <w:tcMar>
              <w:top w:w="65" w:type="dxa"/>
              <w:left w:w="80" w:type="dxa"/>
              <w:bottom w:w="65" w:type="dxa"/>
              <w:right w:w="80" w:type="dxa"/>
            </w:tcMar>
          </w:tcPr>
          <w:p>
            <w:r>
              <w:rPr>
                <w:rFonts w:ascii="Arial" w:hAnsi="Arial"/>
                <w:color w:val="000000"/>
                <w:sz w:val="18"/>
              </w:rPr>
              <w:t>1(h)</w:t>
            </w:r>
          </w:p>
        </w:tc>
        <w:tc>
          <w:tcPr>
            <w:tcMar>
              <w:top w:w="65" w:type="dxa"/>
              <w:left w:w="80" w:type="dxa"/>
              <w:bottom w:w="65" w:type="dxa"/>
              <w:right w:w="80" w:type="dxa"/>
            </w:tcMar>
          </w:tcPr>
          <w:p>
            <w:pPr>
              <w:spacing w:after="0"/>
            </w:pPr>
            <w:r>
              <w:rPr>
                <w:rFonts w:ascii="Arial" w:hAnsi="Arial" w:cs="Arial"/>
                <w:color w:val="000000"/>
                <w:sz w:val="17"/>
                <w:szCs w:val="17"/>
              </w:rPr>
              <w:t xml:space="preserve">¶¶ 62 to 64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Integrated Respiratory Service's first email, 15 May 2024 at 11:47 am, to its second, 20 May 2024 at 11:03 am</w:t>
            </w:r>
          </w:p>
        </w:tc>
        <w:tc>
          <w:tcPr>
            <w:tcMar>
              <w:top w:w="65" w:type="dxa"/>
              <w:left w:w="80" w:type="dxa"/>
              <w:bottom w:w="65" w:type="dxa"/>
              <w:right w:w="80" w:type="dxa"/>
            </w:tcMar>
          </w:tcPr>
          <w:p>
            <w:pPr>
              <w:spacing w:after="0"/>
            </w:pPr>
            <w:r>
              <w:rPr>
                <w:rFonts w:ascii="Arial" w:hAnsi="Arial" w:cs="Arial"/>
                <w:color w:val="000000"/>
                <w:sz w:val="17"/>
                <w:szCs w:val="17"/>
              </w:rPr>
              <w:t xml:space="preserve">the fifth calendar day</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92</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first email to the Appellant's escalation, 20 May 2024 at 2:05 pm</w:t>
            </w:r>
          </w:p>
        </w:tc>
        <w:tc>
          <w:tcPr>
            <w:tcMar>
              <w:top w:w="65" w:type="dxa"/>
              <w:left w:w="80" w:type="dxa"/>
              <w:bottom w:w="65" w:type="dxa"/>
              <w:right w:w="80" w:type="dxa"/>
            </w:tcMar>
          </w:tcPr>
          <w:p>
            <w:pPr>
              <w:spacing w:after="0"/>
            </w:pPr>
            <w:r>
              <w:rPr>
                <w:rFonts w:ascii="Arial" w:hAnsi="Arial" w:cs="Arial"/>
                <w:color w:val="000000"/>
                <w:sz w:val="17"/>
                <w:szCs w:val="17"/>
              </w:rPr>
              <w:t xml:space="preserve">5 days, 2 hours, 18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97 to 98</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Service's second email to that escalation</w:t>
            </w:r>
          </w:p>
        </w:tc>
        <w:tc>
          <w:tcPr>
            <w:tcMar>
              <w:top w:w="65" w:type="dxa"/>
              <w:left w:w="80" w:type="dxa"/>
              <w:bottom w:w="65" w:type="dxa"/>
              <w:right w:w="80" w:type="dxa"/>
            </w:tcMar>
          </w:tcPr>
          <w:p>
            <w:pPr>
              <w:spacing w:after="0"/>
            </w:pPr>
            <w:r>
              <w:rPr>
                <w:rFonts w:ascii="Arial" w:hAnsi="Arial" w:cs="Arial"/>
                <w:color w:val="000000"/>
                <w:sz w:val="17"/>
                <w:szCs w:val="17"/>
              </w:rPr>
              <w:t xml:space="preserve">3 hours, 2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97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escalation to the reply at 4:30 pm, two hours after the office hours stated to all Switchboard staff on 17 May 2024 had ended</w:t>
            </w:r>
          </w:p>
        </w:tc>
        <w:tc>
          <w:tcPr>
            <w:tcMar>
              <w:top w:w="65" w:type="dxa"/>
              <w:left w:w="80" w:type="dxa"/>
              <w:bottom w:w="65" w:type="dxa"/>
              <w:right w:w="80" w:type="dxa"/>
            </w:tcMar>
          </w:tcPr>
          <w:p>
            <w:pPr>
              <w:spacing w:after="0"/>
            </w:pPr>
            <w:r>
              <w:rPr>
                <w:rFonts w:ascii="Arial" w:hAnsi="Arial" w:cs="Arial"/>
                <w:color w:val="000000"/>
                <w:sz w:val="17"/>
                <w:szCs w:val="17"/>
              </w:rPr>
              <w:t xml:space="preserve">2 hours, 25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102 to 103</w:t>
            </w:r>
          </w:p>
        </w:tc>
      </w:tr>
      <w:tr>
        <w:trPr/>
        <w:tc>
          <w:tcPr>
            <w:tcMar>
              <w:top w:w="65" w:type="dxa"/>
              <w:left w:w="80" w:type="dxa"/>
              <w:bottom w:w="65" w:type="dxa"/>
              <w:right w:w="80" w:type="dxa"/>
            </w:tcMar>
          </w:tcPr>
          <w:p>
            <w:r>
              <w:rPr>
                <w:rFonts w:ascii="Arial" w:hAnsi="Arial"/>
                <w:color w:val="000000"/>
                <w:sz w:val="18"/>
              </w:rPr>
              <w:t>Fatigue enquiry of 8 April 2024 to the substantive response of 1 May 2024; acknowledged on 9 April, with no further response alleged before 1 May</w:t>
            </w:r>
          </w:p>
        </w:tc>
        <w:tc>
          <w:tcPr>
            <w:tcMar>
              <w:top w:w="65" w:type="dxa"/>
              <w:left w:w="80" w:type="dxa"/>
              <w:bottom w:w="65" w:type="dxa"/>
              <w:right w:w="80" w:type="dxa"/>
            </w:tcMar>
          </w:tcPr>
          <w:p>
            <w:pPr>
              <w:spacing w:after="0"/>
            </w:pPr>
            <w:r>
              <w:rPr>
                <w:rFonts w:ascii="Arial" w:hAnsi="Arial" w:cs="Arial"/>
                <w:color w:val="000000"/>
                <w:sz w:val="17"/>
                <w:szCs w:val="17"/>
              </w:rPr>
              <w:t xml:space="preserve">23 days</w:t>
            </w:r>
          </w:p>
        </w:tc>
        <w:tc>
          <w:tcPr>
            <w:tcMar>
              <w:top w:w="65" w:type="dxa"/>
              <w:left w:w="80" w:type="dxa"/>
              <w:bottom w:w="65" w:type="dxa"/>
              <w:right w:w="80" w:type="dxa"/>
            </w:tcMar>
          </w:tcPr>
          <w:p>
            <w:r>
              <w:rPr>
                <w:rFonts w:ascii="Arial" w:hAnsi="Arial"/>
                <w:color w:val="000000"/>
                <w:sz w:val="18"/>
              </w:rPr>
              <w:t>3(d)</w:t>
            </w:r>
          </w:p>
        </w:tc>
        <w:tc>
          <w:tcPr>
            <w:tcMar>
              <w:top w:w="65" w:type="dxa"/>
              <w:left w:w="80" w:type="dxa"/>
              <w:bottom w:w="65" w:type="dxa"/>
              <w:right w:w="80" w:type="dxa"/>
            </w:tcMar>
          </w:tcPr>
          <w:p>
            <w:pPr>
              <w:spacing w:after="0"/>
            </w:pPr>
            <w:r>
              <w:rPr>
                <w:rFonts w:ascii="Arial" w:hAnsi="Arial" w:cs="Arial"/>
                <w:color w:val="000000"/>
                <w:sz w:val="17"/>
                <w:szCs w:val="17"/>
              </w:rPr>
              <w:t xml:space="preserve">¶¶ 249 to 250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Third submission of the special pandemic leave request, 29 February 2024 at 11:07:28, to its approval at 11:21:03</w:t>
            </w:r>
          </w:p>
        </w:tc>
        <w:tc>
          <w:tcPr>
            <w:tcMar>
              <w:top w:w="65" w:type="dxa"/>
              <w:left w:w="80" w:type="dxa"/>
              <w:bottom w:w="65" w:type="dxa"/>
              <w:right w:w="80" w:type="dxa"/>
            </w:tcMar>
          </w:tcPr>
          <w:p>
            <w:pPr>
              <w:spacing w:after="0"/>
            </w:pPr>
            <w:r>
              <w:rPr>
                <w:rFonts w:ascii="Arial" w:hAnsi="Arial" w:cs="Arial"/>
                <w:color w:val="000000"/>
                <w:sz w:val="17"/>
                <w:szCs w:val="17"/>
              </w:rPr>
              <w:t xml:space="preserve">13 minutes, 35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Creation of the draft, 20 February 2024, to final approval, 1 March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 4 hours, 40 minutes, 20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Removal of database access, 18 July 2023, to 18 June 2024; no restoration alleged</w:t>
            </w:r>
          </w:p>
        </w:tc>
        <w:tc>
          <w:tcPr>
            <w:tcMar>
              <w:top w:w="65" w:type="dxa"/>
              <w:left w:w="80" w:type="dxa"/>
              <w:bottom w:w="65" w:type="dxa"/>
              <w:right w:w="80" w:type="dxa"/>
            </w:tcMar>
          </w:tcPr>
          <w:p>
            <w:pPr>
              <w:spacing w:after="0"/>
            </w:pPr>
            <w:r>
              <w:rPr>
                <w:rFonts w:ascii="Arial" w:hAnsi="Arial" w:cs="Arial"/>
                <w:color w:val="000000"/>
                <w:sz w:val="17"/>
                <w:szCs w:val="17"/>
              </w:rPr>
              <w:t xml:space="preserve">11 months</w:t>
            </w:r>
          </w:p>
        </w:tc>
        <w:tc>
          <w:tcPr>
            <w:tcMar>
              <w:top w:w="65" w:type="dxa"/>
              <w:left w:w="80" w:type="dxa"/>
              <w:bottom w:w="65" w:type="dxa"/>
              <w:right w:w="80" w:type="dxa"/>
            </w:tcMar>
          </w:tcPr>
          <w:p>
            <w:r>
              <w:rPr>
                <w:rFonts w:ascii="Arial" w:hAnsi="Arial"/>
                <w:color w:val="000000"/>
                <w:sz w:val="18"/>
              </w:rPr>
              <w:t>1(b)</w:t>
            </w:r>
          </w:p>
        </w:tc>
        <w:tc>
          <w:tcPr>
            <w:tcMar>
              <w:top w:w="65" w:type="dxa"/>
              <w:left w:w="80" w:type="dxa"/>
              <w:bottom w:w="65" w:type="dxa"/>
              <w:right w:w="80" w:type="dxa"/>
            </w:tcMar>
          </w:tcPr>
          <w:p>
            <w:pPr>
              <w:spacing w:after="0"/>
            </w:pPr>
            <w:r>
              <w:rPr>
                <w:rFonts w:ascii="Arial" w:hAnsi="Arial" w:cs="Arial"/>
                <w:color w:val="000000"/>
                <w:sz w:val="17"/>
                <w:szCs w:val="17"/>
              </w:rPr>
              <w:t xml:space="preserve">¶ 55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23 August 2023 to 17 May 2024; no fixed office hours alleged to have been stated</w:t>
            </w:r>
          </w:p>
        </w:tc>
        <w:tc>
          <w:tcPr>
            <w:tcMar>
              <w:top w:w="65" w:type="dxa"/>
              <w:left w:w="80" w:type="dxa"/>
              <w:bottom w:w="65" w:type="dxa"/>
              <w:right w:w="80" w:type="dxa"/>
            </w:tcMar>
          </w:tcPr>
          <w:p>
            <w:r>
              <w:rPr>
                <w:rFonts w:ascii="Arial" w:hAnsi="Arial"/>
                <w:color w:val="000000"/>
                <w:sz w:val="18"/>
              </w:rPr>
              <w:t>Approximately 9 months</w:t>
            </w:r>
          </w:p>
        </w:tc>
        <w:tc>
          <w:tcPr>
            <w:tcMar>
              <w:top w:w="65" w:type="dxa"/>
              <w:left w:w="80" w:type="dxa"/>
              <w:bottom w:w="65" w:type="dxa"/>
              <w:right w:w="80" w:type="dxa"/>
            </w:tcMar>
          </w:tcPr>
          <w:p>
            <w:r>
              <w:rPr>
                <w:rFonts w:ascii="Arial" w:hAnsi="Arial"/>
                <w:color w:val="000000"/>
                <w:sz w:val="18"/>
              </w:rPr>
              <w:t>1(d), 1(m)</w:t>
            </w:r>
          </w:p>
        </w:tc>
        <w:tc>
          <w:tcPr>
            <w:tcMar>
              <w:top w:w="65" w:type="dxa"/>
              <w:left w:w="80" w:type="dxa"/>
              <w:bottom w:w="65" w:type="dxa"/>
              <w:right w:w="80" w:type="dxa"/>
            </w:tcMar>
          </w:tcPr>
          <w:p>
            <w:pPr>
              <w:spacing w:after="0"/>
            </w:pPr>
            <w:r>
              <w:rPr>
                <w:rFonts w:ascii="Arial" w:hAnsi="Arial" w:cs="Arial"/>
                <w:color w:val="000000"/>
                <w:sz w:val="17"/>
                <w:szCs w:val="17"/>
              </w:rPr>
              <w:t xml:space="preserve">¶ 73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3 May 2024, to the pay date of the payslip carrying three of the four corrections,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33 days</w:t>
            </w:r>
          </w:p>
        </w:tc>
        <w:tc>
          <w:tcPr>
            <w:tcMar>
              <w:top w:w="65" w:type="dxa"/>
              <w:left w:w="80" w:type="dxa"/>
              <w:bottom w:w="65" w:type="dxa"/>
              <w:right w:w="80" w:type="dxa"/>
            </w:tcMar>
          </w:tcPr>
          <w:p>
            <w:r>
              <w:rPr>
                <w:rFonts w:ascii="Arial" w:hAnsi="Arial"/>
                <w:color w:val="000000"/>
                <w:sz w:val="18"/>
              </w:rPr>
              <w:t>2(n)</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direction to the pay date of the payslip carrying the fourth, 2 July 2025 (amendment dated 30 June 2025)</w:t>
            </w:r>
          </w:p>
        </w:tc>
        <w:tc>
          <w:tcPr>
            <w:tcMar>
              <w:top w:w="65" w:type="dxa"/>
              <w:left w:w="80" w:type="dxa"/>
              <w:bottom w:w="65" w:type="dxa"/>
              <w:right w:w="80" w:type="dxa"/>
            </w:tcMar>
          </w:tcPr>
          <w:p>
            <w:pPr>
              <w:spacing w:after="0"/>
            </w:pPr>
            <w:r>
              <w:rPr>
                <w:rFonts w:ascii="Arial" w:hAnsi="Arial" w:cs="Arial"/>
                <w:color w:val="000000"/>
                <w:sz w:val="17"/>
                <w:szCs w:val="17"/>
              </w:rPr>
              <w:t xml:space="preserve">425 days</w:t>
            </w:r>
          </w:p>
        </w:tc>
        <w:tc>
          <w:tcPr>
            <w:tcMar>
              <w:top w:w="65" w:type="dxa"/>
              <w:left w:w="80" w:type="dxa"/>
              <w:bottom w:w="65" w:type="dxa"/>
              <w:right w:w="80" w:type="dxa"/>
            </w:tcMar>
          </w:tcPr>
          <w:p>
            <w:r>
              <w:rPr>
                <w:rFonts w:ascii="Arial" w:hAnsi="Arial"/>
                <w:color w:val="000000"/>
                <w:sz w:val="18"/>
              </w:rPr>
              <w:t>2(o)</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last shift, 3 June 2024, to the first of those pay dates</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2(n); Part B.1.4</w:t>
            </w:r>
          </w:p>
        </w:tc>
        <w:tc>
          <w:tcPr>
            <w:tcMar>
              <w:top w:w="65" w:type="dxa"/>
              <w:left w:w="80" w:type="dxa"/>
              <w:bottom w:w="65" w:type="dxa"/>
              <w:right w:w="80" w:type="dxa"/>
            </w:tcMar>
          </w:tcPr>
          <w:p>
            <w:pPr>
              <w:spacing w:after="0"/>
            </w:pPr>
            <w:r>
              <w:rPr>
                <w:rFonts w:ascii="Arial" w:hAnsi="Arial" w:cs="Arial"/>
                <w:color w:val="000000"/>
                <w:sz w:val="17"/>
                <w:szCs w:val="17"/>
              </w:rPr>
              <w:t xml:space="preserve">-</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pay enquiry of 8 April 2024 to the reply of 9 April</w:t>
            </w:r>
          </w:p>
        </w:tc>
        <w:tc>
          <w:tcPr>
            <w:tcMar>
              <w:top w:w="65" w:type="dxa"/>
              <w:left w:w="80" w:type="dxa"/>
              <w:bottom w:w="65" w:type="dxa"/>
              <w:right w:w="80" w:type="dxa"/>
            </w:tcMar>
          </w:tcPr>
          <w:p>
            <w:pPr>
              <w:spacing w:after="0"/>
            </w:pPr>
            <w:r>
              <w:rPr>
                <w:rFonts w:ascii="Arial" w:hAnsi="Arial" w:cs="Arial"/>
                <w:color w:val="000000"/>
                <w:sz w:val="17"/>
                <w:szCs w:val="17"/>
              </w:rPr>
              <w:t xml:space="preserve">1 day</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242, 244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reply to the Appellant's follow-up of 24 April 2024</w:t>
            </w:r>
          </w:p>
        </w:tc>
        <w:tc>
          <w:tcPr>
            <w:tcMar>
              <w:top w:w="65" w:type="dxa"/>
              <w:left w:w="80" w:type="dxa"/>
              <w:bottom w:w="65" w:type="dxa"/>
              <w:right w:w="80" w:type="dxa"/>
            </w:tcMar>
          </w:tcPr>
          <w:p>
            <w:pPr>
              <w:spacing w:after="0"/>
            </w:pPr>
            <w:r>
              <w:rPr>
                <w:rFonts w:ascii="Arial" w:hAnsi="Arial" w:cs="Arial"/>
                <w:color w:val="000000"/>
                <w:sz w:val="17"/>
                <w:szCs w:val="17"/>
              </w:rPr>
              <w:t xml:space="preserve">15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244, 246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follow-up to the refusal of 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246, 247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refusal of 1 May 2024 to Payroll's direction of 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2(g), 2(h)</w:t>
            </w:r>
          </w:p>
        </w:tc>
        <w:tc>
          <w:tcPr>
            <w:tcMar>
              <w:top w:w="65" w:type="dxa"/>
              <w:left w:w="80" w:type="dxa"/>
              <w:bottom w:w="65" w:type="dxa"/>
              <w:right w:w="80" w:type="dxa"/>
            </w:tcMar>
          </w:tcPr>
          <w:p>
            <w:pPr>
              <w:spacing w:after="0"/>
            </w:pPr>
            <w:r>
              <w:rPr>
                <w:rFonts w:ascii="Arial" w:hAnsi="Arial" w:cs="Arial"/>
                <w:color w:val="000000"/>
                <w:sz w:val="17"/>
                <w:szCs w:val="17"/>
              </w:rPr>
              <w:t xml:space="preserve">¶¶ 247, 185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Appellant's email to Payroll, 10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Payroll's email that nothing had been corrected, 13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"still waiting" email, 21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18 days</w:t>
            </w:r>
          </w:p>
        </w:tc>
        <w:tc>
          <w:tcPr>
            <w:tcMar>
              <w:top w:w="65" w:type="dxa"/>
              <w:left w:w="80" w:type="dxa"/>
              <w:bottom w:w="65" w:type="dxa"/>
              <w:right w:w="80" w:type="dxa"/>
            </w:tcMar>
          </w:tcPr>
          <w:p>
            <w:r>
              <w:rPr>
                <w:rFonts w:ascii="Arial" w:hAnsi="Arial"/>
                <w:color w:val="000000"/>
                <w:sz w:val="18"/>
              </w:rPr>
              <w:t>2(h), 2(l)</w:t>
            </w:r>
          </w:p>
        </w:tc>
        <w:tc>
          <w:tcPr>
            <w:tcMar>
              <w:top w:w="65" w:type="dxa"/>
              <w:left w:w="80" w:type="dxa"/>
              <w:bottom w:w="65" w:type="dxa"/>
              <w:right w:w="80" w:type="dxa"/>
            </w:tcMar>
          </w:tcPr>
          <w:p>
            <w:pPr>
              <w:spacing w:after="0"/>
            </w:pPr>
            <w:r>
              <w:rPr>
                <w:rFonts w:ascii="Arial" w:hAnsi="Arial" w:cs="Arial"/>
                <w:color w:val="000000"/>
                <w:sz w:val="17"/>
                <w:szCs w:val="17"/>
              </w:rPr>
              <w:t xml:space="preserve">¶¶ 185, 195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AVAC of 28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25 days</w:t>
            </w:r>
          </w:p>
        </w:tc>
        <w:tc>
          <w:tcPr>
            <w:tcMar>
              <w:top w:w="65" w:type="dxa"/>
              <w:left w:w="80" w:type="dxa"/>
              <w:bottom w:w="65" w:type="dxa"/>
              <w:right w:w="80" w:type="dxa"/>
            </w:tcMar>
          </w:tcPr>
          <w:p>
            <w:r>
              <w:rPr>
                <w:rFonts w:ascii="Arial" w:hAnsi="Arial"/>
                <w:color w:val="000000"/>
                <w:sz w:val="18"/>
              </w:rPr>
              <w:t>2(h), 2(m)</w:t>
            </w:r>
          </w:p>
        </w:tc>
        <w:tc>
          <w:tcPr>
            <w:tcMar>
              <w:top w:w="65" w:type="dxa"/>
              <w:left w:w="80" w:type="dxa"/>
              <w:bottom w:w="65" w:type="dxa"/>
              <w:right w:w="80" w:type="dxa"/>
            </w:tcMar>
          </w:tcPr>
          <w:p>
            <w:pPr>
              <w:spacing w:after="0"/>
            </w:pPr>
            <w:r>
              <w:rPr>
                <w:rFonts w:ascii="Arial" w:hAnsi="Arial" w:cs="Arial"/>
                <w:color w:val="000000"/>
                <w:sz w:val="17"/>
                <w:szCs w:val="17"/>
              </w:rPr>
              <w:t xml:space="preserve">¶¶ 185, 197, 209</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AVAC to its processing as "Part Completed", 30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2(m)</w:t>
            </w:r>
          </w:p>
        </w:tc>
        <w:tc>
          <w:tcPr>
            <w:tcMar>
              <w:top w:w="65" w:type="dxa"/>
              <w:left w:w="80" w:type="dxa"/>
              <w:bottom w:w="65" w:type="dxa"/>
              <w:right w:w="80" w:type="dxa"/>
            </w:tcMar>
          </w:tcPr>
          <w:p>
            <w:pPr>
              <w:spacing w:after="0"/>
            </w:pPr>
            <w:r>
              <w:rPr>
                <w:rFonts w:ascii="Arial" w:hAnsi="Arial" w:cs="Arial"/>
                <w:color w:val="000000"/>
                <w:sz w:val="17"/>
                <w:szCs w:val="17"/>
              </w:rPr>
              <w:t xml:space="preserve">¶ 203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shifts of 28 February, 30 March and 1 April 2024 to the payslip that adjusted them, pay date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98 days; 67 days; 65 days</w:t>
            </w:r>
          </w:p>
        </w:tc>
        <w:tc>
          <w:tcPr>
            <w:tcMar>
              <w:top w:w="65" w:type="dxa"/>
              <w:left w:w="80" w:type="dxa"/>
              <w:bottom w:w="65" w:type="dxa"/>
              <w:right w:w="80" w:type="dxa"/>
            </w:tcMar>
          </w:tcPr>
          <w:p>
            <w:r>
              <w:rPr>
                <w:rFonts w:ascii="Arial" w:hAnsi="Arial"/>
                <w:color w:val="000000"/>
                <w:sz w:val="18"/>
              </w:rPr>
              <w:t>2(c), 2(e), 2(f), 2(n)</w:t>
            </w:r>
          </w:p>
        </w:tc>
        <w:tc>
          <w:tcPr>
            <w:tcMar>
              <w:top w:w="65" w:type="dxa"/>
              <w:left w:w="80" w:type="dxa"/>
              <w:bottom w:w="65" w:type="dxa"/>
              <w:right w:w="80" w:type="dxa"/>
            </w:tcMar>
          </w:tcPr>
          <w:p>
            <w:pPr>
              <w:spacing w:after="0"/>
            </w:pPr>
            <w:r>
              <w:rPr>
                <w:rFonts w:ascii="Arial" w:hAnsi="Arial" w:cs="Arial"/>
                <w:color w:val="000000"/>
                <w:sz w:val="17"/>
                <w:szCs w:val="17"/>
              </w:rPr>
              <w:t xml:space="preserve">¶¶ 187 to 189;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 of 9 February 2024 to the payslip carrying its correction, pay date 2 July 2025</w:t>
            </w:r>
          </w:p>
        </w:tc>
        <w:tc>
          <w:tcPr>
            <w:tcMar>
              <w:top w:w="65" w:type="dxa"/>
              <w:left w:w="80" w:type="dxa"/>
              <w:bottom w:w="65" w:type="dxa"/>
              <w:right w:w="80" w:type="dxa"/>
            </w:tcMar>
          </w:tcPr>
          <w:p>
            <w:pPr>
              <w:spacing w:after="0"/>
            </w:pPr>
            <w:r>
              <w:rPr>
                <w:rFonts w:ascii="Arial" w:hAnsi="Arial" w:cs="Arial"/>
                <w:color w:val="000000"/>
                <w:sz w:val="17"/>
                <w:szCs w:val="17"/>
              </w:rPr>
              <w:t xml:space="preserve">509 days</w:t>
            </w:r>
          </w:p>
        </w:tc>
        <w:tc>
          <w:tcPr>
            <w:tcMar>
              <w:top w:w="65" w:type="dxa"/>
              <w:left w:w="80" w:type="dxa"/>
              <w:bottom w:w="65" w:type="dxa"/>
              <w:right w:w="80" w:type="dxa"/>
            </w:tcMar>
          </w:tcPr>
          <w:p>
            <w:r>
              <w:rPr>
                <w:rFonts w:ascii="Arial" w:hAnsi="Arial"/>
                <w:color w:val="000000"/>
                <w:sz w:val="18"/>
              </w:rPr>
              <w:t>2(a), 2(o)</w:t>
            </w:r>
          </w:p>
        </w:tc>
        <w:tc>
          <w:tcPr>
            <w:tcMar>
              <w:top w:w="65" w:type="dxa"/>
              <w:left w:w="80" w:type="dxa"/>
              <w:bottom w:w="65" w:type="dxa"/>
              <w:right w:w="80" w:type="dxa"/>
            </w:tcMar>
          </w:tcPr>
          <w:p>
            <w:pPr>
              <w:spacing w:after="0"/>
            </w:pPr>
            <w:r>
              <w:rPr>
                <w:rFonts w:ascii="Arial" w:hAnsi="Arial" w:cs="Arial"/>
                <w:color w:val="000000"/>
                <w:sz w:val="17"/>
                <w:szCs w:val="17"/>
              </w:rPr>
              <w:t xml:space="preserve">¶¶ 185 to 186;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request for the Manager's office hours, 15 May 2024 at 1:15 pm, to the Director's request to retract it, 6:23 pm the same day</w:t>
            </w:r>
          </w:p>
        </w:tc>
        <w:tc>
          <w:tcPr>
            <w:tcMar>
              <w:top w:w="65" w:type="dxa"/>
              <w:left w:w="80" w:type="dxa"/>
              <w:bottom w:w="65" w:type="dxa"/>
              <w:right w:w="80" w:type="dxa"/>
            </w:tcMar>
          </w:tcPr>
          <w:p>
            <w:pPr>
              <w:spacing w:after="0"/>
            </w:pPr>
            <w:r>
              <w:rPr>
                <w:rFonts w:ascii="Arial" w:hAnsi="Arial" w:cs="Arial"/>
                <w:color w:val="000000"/>
                <w:sz w:val="17"/>
                <w:szCs w:val="17"/>
              </w:rPr>
              <w:t xml:space="preserve">5 hours, 8 minutes</w:t>
            </w:r>
          </w:p>
        </w:tc>
        <w:tc>
          <w:tcPr>
            <w:tcMar>
              <w:top w:w="65" w:type="dxa"/>
              <w:left w:w="80" w:type="dxa"/>
              <w:bottom w:w="65" w:type="dxa"/>
              <w:right w:w="80" w:type="dxa"/>
            </w:tcMar>
          </w:tcPr>
          <w:p>
            <w:r>
              <w:rPr>
                <w:rFonts w:ascii="Arial" w:hAnsi="Arial"/>
                <w:color w:val="000000"/>
                <w:sz w:val="18"/>
              </w:rPr>
              <w:t>1(m)</w:t>
            </w:r>
          </w:p>
        </w:tc>
        <w:tc>
          <w:tcPr>
            <w:tcMar>
              <w:top w:w="65" w:type="dxa"/>
              <w:left w:w="80" w:type="dxa"/>
              <w:bottom w:w="65" w:type="dxa"/>
              <w:right w:w="80" w:type="dxa"/>
            </w:tcMar>
          </w:tcPr>
          <w:p>
            <w:pPr>
              <w:spacing w:after="0"/>
            </w:pPr>
            <w:r>
              <w:rPr>
                <w:rFonts w:ascii="Arial" w:hAnsi="Arial" w:cs="Arial"/>
                <w:color w:val="000000"/>
                <w:sz w:val="17"/>
                <w:szCs w:val="17"/>
              </w:rPr>
              <w:t xml:space="preserve">¶¶ 74, 76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hours being stated to the department, 17 May 2024 at 9:30 am</w:t>
            </w:r>
          </w:p>
        </w:tc>
        <w:tc>
          <w:tcPr>
            <w:tcMar>
              <w:top w:w="65" w:type="dxa"/>
              <w:left w:w="80" w:type="dxa"/>
              <w:bottom w:w="65" w:type="dxa"/>
              <w:right w:w="80" w:type="dxa"/>
            </w:tcMar>
          </w:tcPr>
          <w:p>
            <w:pPr>
              <w:spacing w:after="0"/>
            </w:pPr>
            <w:r>
              <w:rPr>
                <w:rFonts w:ascii="Arial" w:hAnsi="Arial" w:cs="Arial"/>
                <w:color w:val="000000"/>
                <w:sz w:val="17"/>
                <w:szCs w:val="17"/>
              </w:rPr>
              <w:t xml:space="preserve">1 day, 20 hours, 15 minutes</w:t>
            </w:r>
          </w:p>
        </w:tc>
        <w:tc>
          <w:tcPr>
            <w:tcMar>
              <w:top w:w="65" w:type="dxa"/>
              <w:left w:w="80" w:type="dxa"/>
              <w:bottom w:w="65" w:type="dxa"/>
              <w:right w:w="80" w:type="dxa"/>
            </w:tcMar>
          </w:tcPr>
          <w:p>
            <w:r>
              <w:rPr>
                <w:rFonts w:ascii="Arial" w:hAnsi="Arial"/>
                <w:color w:val="000000"/>
                <w:sz w:val="18"/>
              </w:rPr>
              <w:t>1(m)</w:t>
            </w:r>
          </w:p>
        </w:tc>
        <w:tc>
          <w:tcPr>
            <w:tcMar>
              <w:top w:w="65" w:type="dxa"/>
              <w:left w:w="80" w:type="dxa"/>
              <w:bottom w:w="65" w:type="dxa"/>
              <w:right w:w="80" w:type="dxa"/>
            </w:tcMar>
          </w:tcPr>
          <w:p>
            <w:pPr>
              <w:spacing w:after="0"/>
            </w:pPr>
            <w:r>
              <w:rPr>
                <w:rFonts w:ascii="Arial" w:hAnsi="Arial" w:cs="Arial"/>
                <w:color w:val="000000"/>
                <w:sz w:val="17"/>
                <w:szCs w:val="17"/>
              </w:rPr>
              <w:t xml:space="preserve">¶¶ 74, 81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Director's question about which changes had concerned him, 21 May 2024 at 2:53 pm</w:t>
            </w:r>
          </w:p>
        </w:tc>
        <w:tc>
          <w:tcPr>
            <w:tcMar>
              <w:top w:w="65" w:type="dxa"/>
              <w:left w:w="80" w:type="dxa"/>
              <w:bottom w:w="65" w:type="dxa"/>
              <w:right w:w="80" w:type="dxa"/>
            </w:tcMar>
          </w:tcPr>
          <w:p>
            <w:pPr>
              <w:spacing w:after="0"/>
            </w:pPr>
            <w:r>
              <w:rPr>
                <w:rFonts w:ascii="Arial" w:hAnsi="Arial" w:cs="Arial"/>
                <w:color w:val="000000"/>
                <w:sz w:val="17"/>
                <w:szCs w:val="17"/>
              </w:rPr>
              <w:t xml:space="preserve">6 days, 1 hour, 38 minutes</w:t>
            </w:r>
          </w:p>
        </w:tc>
        <w:tc>
          <w:tcPr>
            <w:tcMar>
              <w:top w:w="65" w:type="dxa"/>
              <w:left w:w="80" w:type="dxa"/>
              <w:bottom w:w="65" w:type="dxa"/>
              <w:right w:w="80" w:type="dxa"/>
            </w:tcMar>
          </w:tcPr>
          <w:p>
            <w:r>
              <w:rPr>
                <w:rFonts w:ascii="Arial" w:hAnsi="Arial"/>
                <w:color w:val="000000"/>
                <w:sz w:val="18"/>
              </w:rPr>
              <w:t>1(m)</w:t>
            </w:r>
          </w:p>
        </w:tc>
        <w:tc>
          <w:tcPr>
            <w:tcMar>
              <w:top w:w="65" w:type="dxa"/>
              <w:left w:w="80" w:type="dxa"/>
              <w:bottom w:w="65" w:type="dxa"/>
              <w:right w:w="80" w:type="dxa"/>
            </w:tcMar>
          </w:tcPr>
          <w:p>
            <w:pPr>
              <w:spacing w:after="0"/>
            </w:pPr>
            <w:r>
              <w:rPr>
                <w:rFonts w:ascii="Arial" w:hAnsi="Arial" w:cs="Arial"/>
                <w:color w:val="000000"/>
                <w:sz w:val="17"/>
                <w:szCs w:val="17"/>
              </w:rPr>
              <w:t xml:space="preserve">¶¶ 74, 79</w:t>
            </w:r>
          </w:p>
        </w:tc>
      </w:tr>
    </w:tbl>
    <w:p>
      <w:pPr>
        <w:spacing w:after="60"/>
      </w:pPr>
    </w:p>
    <w:p>
      <w:pPr>
        <w:spacing w:before="0" w:after="100" w:line="264" w:lineRule="auto"/>
        <w:ind w:left="284"/>
      </w:pPr>
      <w:r>
        <w:rPr>
          <w:rFonts w:ascii="Arial" w:hAnsi="Arial" w:cs="Arial"/>
          <w:i/>
          <w:sz w:val="18"/>
          <w:szCs w:val="18"/>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5. Matters the Respondent does not allege, and documents it does not list</w:t>
      </w:r>
    </w:p>
    <w:p>
      <w:pPr>
        <w:spacing w:before="0" w:after="100" w:line="264" w:lineRule="auto"/>
      </w:pPr>
      <w:r>
        <w:rPr>
          <w:rFonts w:ascii="Arial" w:hAnsi="Arial" w:cs="Arial"/>
          <w:sz w:val="20"/>
          <w:szCs w:val="20"/>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pageBreakBefore/>
        <w:spacing w:before="240" w:after="100" w:line="264" w:lineRule="auto"/>
      </w:pPr>
      <w:r>
        <w:rPr>
          <w:rFonts w:ascii="Arial" w:hAnsi="Arial" w:cs="Arial"/>
          <w:b/>
          <w:sz w:val="24"/>
          <w:szCs w:val="24"/>
        </w:rPr>
        <w:t>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w:t>
      </w:r>
      <w:r>
        <w:rPr>
          <w:rFonts w:ascii="Arial" w:hAnsi="Arial" w:cs="Arial"/>
          <w:b w:val="0"/>
          <w:sz w:val="20"/>
          <w:szCs w:val="20"/>
        </w:rPr>
        <w:t>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1(l);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exposure to the same stressors, two years on, producing the same symptoms. That record is consistent with the stressors pleaded at Part B.2 being a significant contributing factor to the injury, and it is relied on for that purpose and for continuing effect.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w:t>
      </w:r>
      <w:r>
        <w:rPr>
          <w:rFonts w:ascii="Arial" w:hAnsi="Arial" w:cs="Arial"/>
          <w:b w:val="0"/>
          <w:sz w:val="20"/>
          <w:szCs w:val="20"/>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w:t>
      </w:r>
      <w:r>
        <w:rPr>
          <w:rFonts w:ascii="Arial" w:hAnsi="Arial" w:cs="Arial"/>
          <w:b w:val="0"/>
          <w:sz w:val="20"/>
          <w:szCs w:val="20"/>
        </w:rPr>
        <w:t>The Respondent's notified evidence is consistent with the admitted record.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pPr>
      <w:r>
        <w:rPr>
          <w:rFonts w:ascii="Arial" w:hAnsi="Arial" w:cs="Arial"/>
          <w:b/>
          <w:sz w:val="20"/>
          <w:szCs w:val="20"/>
        </w:rPr>
        <w:t xml:space="preserve">5B. Section 32(5)(b) - the injury did not arise from the Appellant's expectation or perception of management action. </w:t>
      </w:r>
      <w:r>
        <w:rPr>
          <w:rFonts w:ascii="Arial" w:hAnsi="Arial" w:cs="Arial"/>
          <w:sz w:val="20"/>
          <w:szCs w:val="20"/>
        </w:rPr>
        <w:t>The circumstances relied on in Part B.2 are events and documents admitted by the Respondent, and the intervals between them are arithmetic on admitted dates and times. They are not the Appellant's expectation or perception of reasonable management action being taken against him. The Appellant contends that section 32(5)(b) has no application to the injury proved on that record.</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Delaney v Q-COMP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commentRangeStart w:id="5"/>
      <w:r>
        <w:rPr>
          <w:rFonts w:ascii="Arial" w:hAnsi="Arial" w:cs="Arial"/>
          <w:b/>
          <w:sz w:val="20"/>
          <w:szCs w:val="20"/>
        </w:rPr>
        <w:t xml:space="preserve">10. </w:t>
      </w:r>
      <w:r>
        <w:rPr>
          <w:rFonts w:ascii="Arial" w:hAnsi="Arial" w:cs="Arial"/>
          <w:b w:val="0"/>
          <w:sz w:val="20"/>
          <w:szCs w:val="20"/>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commentRangeEnd w:id="5"/>
      <w:r>
        <w:rPr>
          <w:rStyle w:val="CommentReference"/>
        </w:rPr>
      </w:r>
    </w:p>
    <w:p>
      <w:pPr>
        <w:spacing w:before="0" w:after="100" w:line="264" w:lineRule="auto"/>
        <w:ind w:left="284"/>
      </w:pPr>
      <w:r>
        <w:rPr>
          <w:rFonts w:ascii="Arial" w:hAnsi="Arial" w:cs="Arial"/>
          <w:i/>
          <w:sz w:val="18"/>
          <w:szCs w:val="18"/>
        </w:rPr>
        <w:t>Particulars: paragraphs 238, 295, 300 to 303 of the notice to admit facts served 28 August 2026, admitted 8 September 2026.</w:t>
      </w:r>
    </w:p>
    <w:p>
      <w:pPr>
        <w:keepNext/>
        <w:spacing w:before="240" w:after="100" w:line="264" w:lineRule="auto"/>
      </w:pPr>
      <w:r>
        <w:rPr>
          <w:rFonts w:ascii="Arial" w:hAnsi="Arial" w:cs="Arial"/>
          <w:b/>
          <w:sz w:val="24"/>
          <w:szCs w:val="24"/>
        </w:rPr>
        <w:t>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pPr>
      <w:r>
        <w:rPr>
          <w:rFonts w:ascii="Arial" w:hAnsi="Arial" w:cs="Arial"/>
          <w:b/>
          <w:sz w:val="24"/>
          <w:szCs w:val="24"/>
        </w:rPr>
        <w:t>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240" w:after="100" w:line="264" w:lineRule="auto"/>
      </w:pPr>
      <w:r>
        <w:rPr>
          <w:rFonts w:ascii="Arial" w:hAnsi="Arial" w:cs="Arial"/>
          <w:b/>
          <w:sz w:val="24"/>
          <w:szCs w:val="24"/>
        </w:rPr>
        <w:t>PART F - COSTS</w:t>
      </w:r>
    </w:p>
    <w:p>
      <w:pPr>
        <w:spacing w:before="0" w:after="100" w:line="264" w:lineRule="auto"/>
      </w:pPr>
      <w:r>
        <w:rPr>
          <w:rFonts w:ascii="Arial" w:hAnsi="Arial" w:cs="Arial"/>
          <w:b/>
          <w:sz w:val="20"/>
          <w:szCs w:val="20"/>
        </w:rPr>
        <w:t xml:space="preserve">1. </w:t>
      </w:r>
      <w:r>
        <w:rPr>
          <w:rFonts w:ascii="Arial" w:hAnsi="Arial" w:cs="Arial"/>
          <w:sz w:val="20"/>
          <w:szCs w:val="20"/>
        </w:rPr>
        <w:t>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The Appellant reserves the right to rely, on the question of costs, on any offer made without prejudice save as to costs.</w:t>
      </w:r>
    </w:p>
    <w:p>
      <w:pPr>
        <w:spacing w:before="0" w:after="100" w:line="264" w:lineRule="auto"/>
      </w:pPr>
      <w:r>
        <w:rPr>
          <w:rFonts w:ascii="Arial" w:hAnsi="Arial" w:cs="Arial"/>
          <w:sz w:val="20"/>
          <w:szCs w:val="20"/>
        </w:rPr>
        <w:t>Dated: 1 October 2026</w:t>
      </w:r>
    </w:p>
    <w:p>
      <w:pPr>
        <w:spacing w:before="120" w:after="80" w:line="264" w:lineRule="auto"/>
      </w:pPr>
      <w:r>
        <w:rPr>
          <w:rFonts w:ascii="Arial" w:hAnsi="Arial" w:cs="Arial"/>
          <w:b/>
          <w:sz w:val="20"/>
          <w:szCs w:val="20"/>
        </w:rPr>
        <w:t>Cory Lea Shepherd</w:t>
      </w:r>
      <w:r>
        <w:br/>
      </w:r>
      <w:r>
        <w:rPr>
          <w:rFonts w:ascii="Arial" w:hAnsi="Arial" w:cs="Arial"/>
          <w:sz w:val="20"/>
          <w:szCs w:val="20"/>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view" w:initials="R" w:date="2026-09-30T16:19:16Z">
    <w:p>
      <w:pPr>
        <w:pStyle w:val="CommentText"/>
      </w:pPr>
      <w:r>
        <w:rPr>
          <w:rStyle w:val="CommentReference"/>
        </w:rPr>
        <w:annotationRef/>
      </w:r>
      <w:r>
        <w:t>Structural edit: the three themes remain. The table now maps to dated lettered particulars. Analysis and supporting records are unlettered. Context-only material retains its original limited purpose. Guide 4.8 supports this event list; guide 4.6 also asks for concise facts and contentions. The detailed evidence has been preserved as requested, so this remains a detailed draft for leave rather than a certification of full procedural compliance.</w:t>
      </w:r>
    </w:p>
  </w:comment>
  <w:comment w:id="1" w:author="Review" w:initials="R" w:date="2026-09-30T16:19:16Z">
    <w:p>
      <w:pPr>
        <w:pStyle w:val="CommentText"/>
      </w:pPr>
      <w:r>
        <w:rPr>
          <w:rStyle w:val="CommentReference"/>
        </w:rPr>
        <w:annotationRef/>
      </w:r>
      <w:r>
        <w:t>The 2020 agreement is retained as background to the applicable break. Its signature is not made a new injury-causing event. The 2026 HR statement is identified by its date, and the alternative seven-hour versus eight-hour argument is now explicit.</w:t>
      </w:r>
    </w:p>
  </w:comment>
  <w:comment w:id="2" w:author="Review" w:initials="R" w:date="2026-09-30T16:19:16Z">
    <w:p>
      <w:pPr>
        <w:pStyle w:val="CommentText"/>
      </w:pPr>
      <w:r>
        <w:rPr>
          <w:rStyle w:val="CommentReference"/>
        </w:rPr>
        <w:annotationRef/>
      </w:r>
      <w:r>
        <w:t>The existing draft designated the Communication Book, August correspondence, pandemic-leave chronology and PID chronology as context within Stressor 1. Their new letters preserve that scope. Pandemic leave remains independently relied on under Stressor 2.</w:t>
      </w:r>
    </w:p>
  </w:comment>
  <w:comment w:id="3" w:author="Review" w:initials="R" w:date="2026-09-30T16:19:16Z">
    <w:p>
      <w:pPr>
        <w:pStyle w:val="CommentText"/>
      </w:pPr>
      <w:r>
        <w:rPr>
          <w:rStyle w:val="CommentReference"/>
        </w:rPr>
        <w:annotationRef/>
      </w:r>
      <w:r>
        <w:t>Read the May 2024 risk-matrix discussion with the employer’s later statement about implementation after 30 June 2024. These are different propositions. The event structure does not turn absence from a pleading or document list into proof that an assessment never occurred.</w:t>
      </w:r>
    </w:p>
  </w:comment>
  <w:comment w:id="4" w:author="Review" w:initials="R" w:date="2026-09-30T16:19:16Z">
    <w:p>
      <w:pPr>
        <w:pStyle w:val="CommentText"/>
      </w:pPr>
      <w:r>
        <w:rPr>
          <w:rStyle w:val="CommentReference"/>
        </w:rPr>
        <w:annotationRef/>
      </w:r>
      <w:r>
        <w:t>Date check carried forward for review: paragraph B.1.5 identifies certificates ending on 6 October 2024, while this paragraph says employment was terminated on 8 October while continuous certificates were held. Verify the effective separation date, notification date and any further certificate against the underlying records before filing. No new date has been invented in this structural edit.</w:t>
      </w:r>
    </w:p>
  </w:comment>
  <w:comment w:id="5" w:author="Review" w:initials="R" w:date="2026-09-30T16:19:16Z">
    <w:p>
      <w:pPr>
        <w:pStyle w:val="CommentText"/>
      </w:pPr>
      <w:r>
        <w:rPr>
          <w:rStyle w:val="CommentReference"/>
        </w:rPr>
        <w:annotationRef/>
      </w:r>
      <w:r>
        <w:t>The qualification preserves admission 303 while confining it to paragraph 27. It does not describe the whole defence as failing to identify management action; the existing draft itself records the Respondent’s explanations elsewhere.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