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 The Appellant does not require to change his list of witnesses filed, or his outlines of evidence served on the Respondent, on 9 September 2026 under directions 1 and 2, and they stand as filed and served on that date.</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with the schedule of the documents relied on and their status (four pages in all); and the Second Amended Statement of Facts and Contentions (Form 9A) (25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30 September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