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550(4),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certified by the treating general practitioner. The injury is pleaded as arising from that course of conduct, not from a single event on that day.</w:t>
      </w:r>
    </w:p>
    <w:p>
      <w:pPr>
        <w:spacing w:before="0" w:after="100" w:line="264" w:lineRule="auto"/>
        <w:ind w:left="284"/>
      </w:pPr>
      <w:r>
        <w:rPr>
          <w:rFonts w:ascii="Arial" w:hAnsi="Arial" w:cs="Arial"/>
          <w:i/>
          <w:sz w:val="18"/>
          <w:szCs w:val="18"/>
        </w:rPr>
        <w:t xml:space="preserve">Particulars: paragraphs 1 to 4, 13 to 16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Unless a paragraph says it is context only, each fact set out below was admitted by the Respondent, to the extent recorded in its response of 8 September 2026. The Commission is asked to decide from those admissions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w:t>
      </w:r>
    </w:p>
    <w:p>
      <w:pPr>
        <w:spacing w:before="0" w:after="100" w:line="264" w:lineRule="auto"/>
        <w:ind w:left="284"/>
      </w:pPr>
      <w:r>
        <w:rPr>
          <w:rFonts w:ascii="Arial" w:hAnsi="Arial" w:cs="Arial"/>
          <w:i/>
          <w:sz w:val="18"/>
          <w:szCs w:val="18"/>
        </w:rPr>
        <w:t xml:space="preserve">Duty engaged: paragraphs 5, 7 to 8, 10 of that notice (the role description).</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renews a referral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hd w:val="clear" w:color="auto" w:fill="E9E9E9"/>
        <w:spacing w:before="20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following fortnight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The console took about 270 to 440 calls on an eight-hour shift. Emergency codes were received and paged through it throughout the day (Stressor 3(h) below).</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the reporting clinician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request.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 rostering error,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full 24-hour rotational schedule,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36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replied that he was eligible for up to five days' paid leave on photo evidence of the test, and "requested that you send it to her so she could submit it in MyHR". [¶ 136]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b/>
          <w:sz w:val="20"/>
          <w:szCs w:val="20"/>
        </w:rPr>
        <w:t xml:space="preserve">(m) The authority to decide that application. </w:t>
      </w:r>
      <w:r>
        <w:rPr>
          <w:rFonts w:ascii="Arial" w:hAnsi="Arial" w:cs="Arial"/>
          <w:sz w:val="20"/>
          <w:szCs w:val="20"/>
        </w:rPr>
        <w:t xml:space="preserve">The power to approve paid special pandemic leave was sub-delegated by an Instrument of Human Resource Sub-Delegation signed by the Health Service Chief Executive on 23 November 2022 and effective from 5 December 2022. [¶ 127]</w:t>
      </w:r>
    </w:p>
    <w:p>
      <w:pPr>
        <w:spacing w:before="0" w:after="100" w:line="264" w:lineRule="auto"/>
      </w:pPr>
      <w:r>
        <w:rPr>
          <w:rFonts w:ascii="Arial" w:hAnsi="Arial" w:cs="Arial"/>
          <w:sz w:val="20"/>
          <w:szCs w:val="20"/>
        </w:rPr>
        <w:t xml:space="preserve">That Instrument states: "This Instrument does not permit the further sub-delegation of the powers outlined in (a) above." [¶ 128]</w:t>
      </w:r>
    </w:p>
    <w:p>
      <w:pPr>
        <w:spacing w:before="0" w:after="100" w:line="264" w:lineRule="auto"/>
      </w:pPr>
      <w:r>
        <w:rPr>
          <w:rFonts w:ascii="Arial" w:hAnsi="Arial" w:cs="Arial"/>
          <w:sz w:val="20"/>
          <w:szCs w:val="20"/>
        </w:rPr>
        <w:t xml:space="preserve">In the leave request history the Switchboard Manager is identified as "Reviewer" and the Director as "Manager". [¶ 126]</w:t>
      </w:r>
    </w:p>
    <w:p>
      <w:pPr>
        <w:spacing w:before="0" w:after="100" w:line="264" w:lineRule="auto"/>
      </w:pPr>
      <w:r>
        <w:rPr>
          <w:rFonts w:ascii="Arial" w:hAnsi="Arial" w:cs="Arial"/>
          <w:sz w:val="20"/>
          <w:szCs w:val="20"/>
        </w:rPr>
        <w:t xml:space="preserve">The Respondent does not allege that either was a Band 9 delegate at any relevant time in February or March 2024, and does not identify the person who exercised the power sub-delegated by that Instrument in respect of Process Reference 15480560. [¶¶ 129 to 131]</w:t>
      </w:r>
    </w:p>
    <w:p>
      <w:pPr>
        <w:spacing w:before="0" w:after="100" w:line="264" w:lineRule="auto"/>
      </w:pPr>
      <w:r>
        <w:rPr>
          <w:rFonts w:ascii="Arial" w:hAnsi="Arial" w:cs="Arial"/>
          <w:b/>
          <w:sz w:val="20"/>
          <w:szCs w:val="20"/>
        </w:rPr>
        <w:t xml:space="preserve">(n) Public interest disclosure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spacing w:before="0" w:after="100" w:line="264" w:lineRule="auto"/>
      </w:pPr>
      <w:r>
        <w:rPr>
          <w:rFonts w:ascii="Arial" w:hAnsi="Arial" w:cs="Arial"/>
          <w:b/>
          <w:sz w:val="20"/>
          <w:szCs w:val="20"/>
        </w:rPr>
        <w:t xml:space="preserve">(o) Workplace representation. </w:t>
      </w:r>
      <w:r>
        <w:rPr>
          <w:rFonts w:ascii="Arial" w:hAnsi="Arial" w:cs="Arial"/>
          <w:sz w:val="20"/>
          <w:szCs w:val="20"/>
        </w:rPr>
        <w:t xml:space="preserve">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spacing w:before="0" w:after="100" w:line="264" w:lineRule="auto"/>
      </w:pPr>
      <w:r>
        <w:rPr>
          <w:rFonts w:ascii="Arial" w:hAnsi="Arial" w:cs="Arial"/>
          <w:sz w:val="20"/>
          <w:szCs w:val="20"/>
        </w:rPr>
        <w:t xml:space="preserve">On 3 November 2025 an Organiser of Together Queensland wrote to the Appellant and two colleagues congratulating them, and the Appellant was endorsed as a workplace delegate on or about that date. [¶¶ 178 to 179]</w:t>
      </w:r>
    </w:p>
    <w:p>
      <w:pPr>
        <w:spacing w:before="0" w:after="100" w:line="264" w:lineRule="auto"/>
      </w:pPr>
      <w:r>
        <w:rPr>
          <w:rFonts w:ascii="Arial" w:hAnsi="Arial" w:cs="Arial"/>
          <w:b/>
          <w:sz w:val="20"/>
          <w:szCs w:val="20"/>
        </w:rPr>
        <w:t xml:space="preserve">(p)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(q)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(m), (n) and (o)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(p).</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shd w:val="clear" w:color="auto" w:fill="E9E9E9"/>
        <w:spacing w:before="20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the Manager.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shifts of 17 and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and the Manager.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certified by his general practitioner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after the date of injury, after the Respondent's review decision of 24 October 2024, and after this appeal was commenced, with an exemption from the form the Manager had asked the Appellant to sign on 28 May 2024. [¶¶ 196 to 197] The Respondent's pleading and its outlines of evidence (Part B.6) describe the pay issues as "corrected" and "remedied in a timely manner" [¶ 207] without stating these dates.</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repeated on purpose from Stressor 1(l) and (m).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shd w:val="clear" w:color="auto" w:fill="E9E9E9"/>
        <w:spacing w:before="20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 rostering error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Separate estimates of time awake, travel, sleep and workload are not part of the admitted facts and are not pleaded.</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an interval of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28]</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During certified leave, Ms Reese contacted the Appellant and meetings were scheduled. His employment was later ended under abandonment provisions with an effective separation date of 20 September 2024, and he was later reinstated. These matters are notified in his outline of evidence.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 facts and are not relied on as causes of the injury, which had arisen by June 2024. They are kept only as context after the injury, as history of continuing effect and capacity, and as matters notified for oral evidence. Any later WorkCover, income-protection, return-to-work or employment dispute is treated in the same way unless it is separately admitted and relied on for another stated purpose.</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before="0" w:after="100" w:line="264" w:lineRule="auto"/>
        <w:ind w:left="284"/>
      </w:pPr>
      <w:r>
        <w:rPr>
          <w:rFonts w:ascii="Arial" w:hAnsi="Arial" w:cs="Arial"/>
          <w:i/>
          <w:sz w:val="18"/>
          <w:szCs w:val="18"/>
        </w:rPr>
        <w:t xml:space="preserve">Particulars: paragraphs 274 to 282 of the notice to admit facts served 28 August 2026, admitted 8 September 2026.</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following intervals are worked out from dates and times admitted by the Respondent. They are arithmetic only. They do not depend on whether any statement in a document is true.</w:t>
      </w:r>
    </w:p>
    <w:p>
      <w:pPr>
        <w:spacing w:before="0" w:after="100" w:line="264" w:lineRule="auto"/>
      </w:pPr>
      <w:r>
        <w:rPr>
          <w:rFonts w:ascii="Arial" w:hAnsi="Arial" w:cs="Arial"/>
          <w:b/>
          <w:sz w:val="20"/>
          <w:szCs w:val="20"/>
        </w:rPr>
        <w:t xml:space="preserve">4.1 Between the MASPER Registrar's first report of 3 May 2024 at 3:06 pm and the first reply of 9 May 2024 at 9:20 am: five days, eighteen hours and fourteen minutes. </w:t>
      </w:r>
      <w:r>
        <w:rPr>
          <w:rFonts w:ascii="Arial" w:hAnsi="Arial" w:cs="Arial"/>
          <w:sz w:val="20"/>
          <w:szCs w:val="20"/>
        </w:rPr>
        <w:t xml:space="preserve">Her second report was sent on the fifth calendar day after the first; the reply was sent on the sixth.</w:t>
      </w:r>
    </w:p>
    <w:p>
      <w:pPr>
        <w:spacing w:before="0" w:after="100" w:line="264" w:lineRule="auto"/>
      </w:pPr>
      <w:r>
        <w:rPr>
          <w:rFonts w:ascii="Arial" w:hAnsi="Arial" w:cs="Arial"/>
          <w:b/>
          <w:sz w:val="20"/>
          <w:szCs w:val="20"/>
        </w:rPr>
        <w:t xml:space="preserve">4.2 Between the first email of the Integrated Respiratory Service of 15 May 2024 at 11:47 am and its second of 20 May 2024 at 11:03 am: the fifth calendar day. </w:t>
      </w:r>
      <w:r>
        <w:rPr>
          <w:rFonts w:ascii="Arial" w:hAnsi="Arial" w:cs="Arial"/>
          <w:sz w:val="20"/>
          <w:szCs w:val="20"/>
        </w:rPr>
        <w:t xml:space="preserve">Between that first email and the Appellant's escalation of 20 May 2024 at 2:05 pm: five days, two hours and eighteen minutes. Between the Service's second email and that escalation: three hours and two minutes. Between the escalation and the reply at 4:30 pm: two hours and twenty-five minutes, that reply being sent two hours after the conclusion of the office hours stated to all Switchboard staff on 17 May 2024.</w:t>
      </w:r>
    </w:p>
    <w:p>
      <w:pPr>
        <w:spacing w:before="0" w:after="100" w:line="264" w:lineRule="auto"/>
      </w:pPr>
      <w:r>
        <w:rPr>
          <w:rFonts w:ascii="Arial" w:hAnsi="Arial" w:cs="Arial"/>
          <w:sz w:val="20"/>
          <w:szCs w:val="20"/>
        </w:rPr>
        <w:t xml:space="preserve">4.3 Between the Appellant's fatigue enquiry of 8 April 2024 and the response of 1 May 2024: 23 days, during which the Respondent does not allege that any response was made.</w:t>
      </w:r>
    </w:p>
    <w:p>
      <w:pPr>
        <w:spacing w:before="0" w:after="100" w:line="264" w:lineRule="auto"/>
      </w:pPr>
      <w:r>
        <w:rPr>
          <w:rFonts w:ascii="Arial" w:hAnsi="Arial" w:cs="Arial"/>
          <w:b/>
          <w:sz w:val="20"/>
          <w:szCs w:val="20"/>
        </w:rPr>
        <w:t xml:space="preserve">4.4 Between the third submission of the special pandemic leave request at 11:07:28 on 29 February 2024 and its approval at 11:21:03 the same morning: thirteen minutes and thirty-five seconds. </w:t>
      </w:r>
      <w:r>
        <w:rPr>
          <w:rFonts w:ascii="Arial" w:hAnsi="Arial" w:cs="Arial"/>
          <w:sz w:val="20"/>
          <w:szCs w:val="20"/>
        </w:rPr>
        <w:t xml:space="preserve">Between the creation of the draft on 20 February 2024 and the final approval on 1 March 2024: ten days, four hours, forty minutes and twenty seconds.</w:t>
      </w:r>
    </w:p>
    <w:p>
      <w:pPr>
        <w:spacing w:before="0" w:after="100" w:line="264" w:lineRule="auto"/>
      </w:pPr>
      <w:r>
        <w:rPr>
          <w:rFonts w:ascii="Arial" w:hAnsi="Arial" w:cs="Arial"/>
          <w:b/>
          <w:sz w:val="20"/>
          <w:szCs w:val="20"/>
        </w:rPr>
        <w:t xml:space="preserve">4.5 Between the removal of database access on 18 July 2023 and 18 June 2024: eleven months, during which the Respondent does not allege that access was restored. </w:t>
      </w:r>
      <w:r>
        <w:rPr>
          <w:rFonts w:ascii="Arial" w:hAnsi="Arial" w:cs="Arial"/>
          <w:sz w:val="20"/>
          <w:szCs w:val="20"/>
        </w:rPr>
        <w:t xml:space="preserve">Between 23 August 2023 and 17 May 2024: nine months, during which the Respondent does not allege that fixed office hours were stated to the Switchboard staff.</w:t>
      </w:r>
    </w:p>
    <w:p>
      <w:pPr>
        <w:spacing w:before="0" w:after="100" w:line="264" w:lineRule="auto"/>
      </w:pPr>
      <w:r>
        <w:rPr>
          <w:rFonts w:ascii="Arial" w:hAnsi="Arial" w:cs="Arial"/>
          <w:b/>
          <w:sz w:val="20"/>
          <w:szCs w:val="20"/>
        </w:rPr>
        <w:t xml:space="preserve">4.6 Between Payroll's direction of 3 May 2024 and the pay date of the payslip carrying three of the four corrections, 5 June 2024: 33 days. </w:t>
      </w:r>
      <w:r>
        <w:rPr>
          <w:rFonts w:ascii="Arial" w:hAnsi="Arial" w:cs="Arial"/>
          <w:sz w:val="20"/>
          <w:szCs w:val="20"/>
        </w:rPr>
        <w:t xml:space="preserve">Between that direction and the pay date of the payslip carrying the fourth, 2 July 2025: 425 days, the amendment itself being dated 30 June 2025. Between the Appellant's last shift, 3 June 2024, and the first of those pay dates: two days.</w:t>
      </w:r>
    </w:p>
    <w:p>
      <w:pPr>
        <w:spacing w:before="0" w:after="100" w:line="264" w:lineRule="auto"/>
        <w:ind w:left="284"/>
      </w:pPr>
      <w:r>
        <w:rPr>
          <w:rFonts w:ascii="Arial" w:hAnsi="Arial" w:cs="Arial"/>
          <w:i/>
          <w:sz w:val="18"/>
          <w:szCs w:val="18"/>
        </w:rPr>
        <w:t xml:space="preserve">Particulars: paragraphs 62 to 64, 92, 97 to 98, 102 to 103, 124 to 125, 249 of the notice to admit facts served 28 August 2026, admitted 8 September 2026.</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every one of the 14 were admitted on 8 September 2026 to the extent set out in Part B;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1(p)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nine reported occasions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no response is alleged for 23 days;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at [86]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an award of up to 1.5 times those amounts under section 191(3), in total or for any item, having regard to: (a) the work involved: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an appeal about a psychological injury under section 32(5)(a), which requires each pleaded circumstance to be classified, a finding on the reasonableness of each that is management action, and the weighing of the whole.</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______________________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