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80" w:before="0" w:line="264"/>
        <w:jc w:val="both"/>
      </w:pPr>
      <w:r>
        <w:rPr>
          <w:rFonts w:ascii="Times New Roman" w:cs="Times New Roman" w:eastAsia="Times New Roman" w:hAnsi="Times New Roman"/>
          <w:b/>
          <w:bCs/>
          <w:i w:val="false"/>
          <w:iCs w:val="false"/>
          <w:sz w:val="22"/>
          <w:szCs w:val="22"/>
        </w:rPr>
        <w:t xml:space="preserve">WC/2024/227 - Schedule to the Appellant's letter of 1 October 2026, updated to 19 October 2026</w:t>
      </w:r>
    </w:p>
    <w:p>
      <w:pPr>
        <w:keepNext w:val="false"/>
        <w:spacing w:after="120" w:before="0" w:line="264"/>
        <w:jc w:val="both"/>
      </w:pPr>
      <w:r>
        <w:rPr>
          <w:rFonts w:ascii="Times New Roman" w:cs="Times New Roman" w:eastAsia="Times New Roman" w:hAnsi="Times New Roman"/>
          <w:sz w:val="22"/>
          <w:szCs w:val="22"/>
        </w:rPr>
        <w:t xml:space="preserve">The schedule is reproduced as provided on 1 October 2026. Only Part 1 is updated: its introduction, the new column "12 Oct 2026", the column "Position now" and the note after the table; two tables are added after it, for the documents at Tab 32 and for facts 228 to 231. Parts 2 and 3 are unchanged.</w:t>
      </w:r>
    </w:p>
    <w:p>
      <w:pPr>
        <w:keepNext/>
        <w:spacing w:after="120" w:before="0" w:line="264"/>
        <w:jc w:val="both"/>
      </w:pPr>
      <w:r>
        <w:rPr>
          <w:rFonts w:ascii="Times New Roman" w:cs="Times New Roman" w:eastAsia="Times New Roman" w:hAnsi="Times New Roman"/>
          <w:b/>
          <w:bCs/>
          <w:i w:val="false"/>
          <w:iCs w:val="false"/>
          <w:sz w:val="22"/>
          <w:szCs w:val="22"/>
        </w:rPr>
        <w:t xml:space="preserve">Schedule, Part 1: the 39 documents at Annexure A (notices to admit served 28 August 2026) and their status</w:t>
      </w:r>
    </w:p>
    <w:p>
      <w:pPr>
        <w:keepNext w:val="false"/>
        <w:spacing w:after="120" w:before="0" w:line="264"/>
        <w:jc w:val="both"/>
      </w:pPr>
      <w:r>
        <w:rPr>
          <w:rFonts w:ascii="Times New Roman" w:cs="Times New Roman" w:eastAsia="Times New Roman" w:hAnsi="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By email of 12 October 2026 it provided disclosure copies of those nine documents, Tab 31 as the spreadsheet "2024 Emergency Code Register_16 to 20 March 2024.xlsx", and stated: "The regulator confirms the veracity of the attached documents." Thirty-eight of the 39 documents are therefore admitted or confirmed; the fourteenth, Tab 24, has not been addressed. The facts recorded in 13 of the 14 were admitted on 8 September 2026 to the extent set out in Part B; the exception is the register at Tab 31, from which facts 228 to 231 were not admitted. The table after Part 1 identifies, by row of that spreadsheet, the entries that facts 228 to 231 record.</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0"/>
        <w:gridCol w:w="2400"/>
        <w:gridCol w:w="1200"/>
        <w:gridCol w:w="1000"/>
        <w:gridCol w:w="1560"/>
        <w:gridCol w:w="1440"/>
        <w:gridCol w:w="1478"/>
      </w:tblGrid>
      <w:tr>
        <w:trPr>
          <w:cantSplit/>
          <w:tblHeader/>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8 Sep 2026</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24 Sep 2026</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12 Oct 2026</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to the Switchboard team, "Hello &amp; Update"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 2023, 12:56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to Reese, "Fwd: Communication Book Update", with her email to Logan Switch of 9:57 am that day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 Jun 2023, 4:05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"Increase of hours and Workplace issues" chain and Reese's replies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7-10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attaching HR Policy E12; emails of 4 and 8 Sep 2023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 Aug-8 Sep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to Increase Working Hours to Full Time Rotational Roster"; emails of 7 Aug 2023 1:43 pm and 5:11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and 31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chain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 Apr-8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to Pritchard "FW: Roster Concerns"; Reese to LBH_HR attaching qh-gdl-401-3.3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Cover page, Fatigue risk management systems implementation guideline QH-GDL-401-3.3:2021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2021</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MASPER emails (Taylor to Kwok and Wong; "MASPER process") and issue logs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May 2024 (logs 2-8 May)</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8C</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"Switchboard After Hours On Call Manager PP24"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 4:29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"Switchboard Manager - On call and Hours."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May 2024, 9:30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and Departmental Directives" chain (1:15 pm, 6:23 pm, 7:09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"RE: Office Hours and Departmental Directives"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2:53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"Sick leave 14.05.24", and its forwarding to Reese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14-15 May 2024 (first email 14 May, 12:08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Marriott (Integrated Respiratory Service) to Logan Switch; the Appellant to Taylor; Taylor's reply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"Corey Shepherd 388372 Pay issues" thread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3-13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Same thread, Taylor to the Appellant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12:33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"Validation of Claims older than 3 months - Please sign"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May 2024, 8:36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submissions report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Feb-31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QH Leave Takings Report (MSH Item 15)</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Review Decision 69983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 Oct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Appellant's first notice to admit facts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before 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Respondent's response to that notice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leave request history, Process Reference 15480560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Feb-1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Paid Special Pandemic Leave (MSH Item 13)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5 Dec 2022</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"Afterhours Oncall Process - Switchboard" (Stressor 1(f))</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 2024, 12:39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to Commissioner Dwyer, K-LM26/729, signed by the Chief Executive (supporting records under Stressors 1 and 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"What's Chloe's Hours?!" (Stressor 1(d))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 2023, 2:18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"Good morning Team." (Stressor 1, supporting records)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Jun 2024, 8:58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Administration Officer, Switchboard Services (AO3), Logan Hospital</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undated</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"Approved - Permanent Full Time FTE"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Sep 2023, 1:52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as delegate,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Apr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Forrest, Senior Consultant Human Resources, to the Appellant, stating that the 8-hour agreement "is only applied where staff initiated shift swaps have occurred"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Jul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Paper, Proposed Rosters for Switchboard Services, signed by Mr Hughes 12 Nov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Nov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outcome, Proposed Rosters, signed by Mr Hughes 12 Dec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Dec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Screen capture, "2024 Emergency Code Register.xlsx", March 2024 sheet, entries 16-20 Mar 2024 (Stressors 3(b) and 3(c))</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confirmed; tender. Facts 228-231 not admitted (see the table after Part 1)</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Moran, Organiser, Together Queensland, to Jeffrey, Conaghan and the Appellant, "Switchboard Roster Feedback - For Delegates"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Nov 2025</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Outstanding; contents admitted (178-179)</w:t>
            </w:r>
          </w:p>
        </w:tc>
      </w:tr>
    </w:tbl>
    <w:p>
      <w:pPr>
        <w:keepNext w:val="false"/>
        <w:spacing w:after="80" w:before="340" w:line="264"/>
        <w:jc w:val="both"/>
      </w:pPr>
      <w:r>
        <w:rPr>
          <w:rFonts w:ascii="Times New Roman" w:cs="Times New Roman" w:eastAsia="Times New Roman" w:hAnsi="Times New Roman"/>
          <w:sz w:val="22"/>
          <w:szCs w:val="22"/>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On 12 October 2026 the Respondent provided its own copy of each of the ten except Tab 24. Tab 24 is a Together Queensland document, which the emails of 24 September and 12 October 2026 do not address.</w:t>
      </w:r>
    </w:p>
    <w:p>
      <w:pPr>
        <w:keepNext/>
        <w:spacing w:after="120" w:before="120" w:line="264"/>
        <w:jc w:val="both"/>
      </w:pPr>
      <w:r>
        <w:rPr>
          <w:rFonts w:ascii="Times New Roman" w:cs="Times New Roman" w:eastAsia="Times New Roman" w:hAnsi="Times New Roman"/>
          <w:b/>
          <w:bCs/>
          <w:i w:val="false"/>
          <w:iCs w:val="false"/>
          <w:sz w:val="22"/>
          <w:szCs w:val="22"/>
        </w:rPr>
        <w:t xml:space="preserve">Documents at Tab 32 (provided to the Respondent on 7 October 2026).</w:t>
      </w:r>
      <w:r>
        <w:rPr>
          <w:rFonts w:ascii="Times New Roman" w:cs="Times New Roman" w:eastAsia="Times New Roman" w:hAnsi="Times New Roman"/>
          <w:sz w:val="22"/>
          <w:szCs w:val="22"/>
        </w:rPr>
        <w:t xml:space="preserve"> Metro South Health enclosed both documents with its letter of 5 June 2026 (Tab 20). In answer to the Appellant's request under rule 49 of the </w:t>
      </w:r>
      <w:r>
        <w:rPr>
          <w:rFonts w:ascii="Times New Roman" w:cs="Times New Roman" w:eastAsia="Times New Roman" w:hAnsi="Times New Roman"/>
          <w:b w:val="false"/>
          <w:bCs w:val="false"/>
          <w:i/>
          <w:iCs/>
          <w:sz w:val="22"/>
          <w:szCs w:val="22"/>
        </w:rPr>
        <w:t xml:space="preserve">Industrial Relations (Tribunals) Rules 2011</w:t>
      </w:r>
      <w:r>
        <w:rPr>
          <w:rFonts w:ascii="Times New Roman" w:cs="Times New Roman" w:eastAsia="Times New Roman" w:hAnsi="Times New Roman"/>
          <w:sz w:val="22"/>
          <w:szCs w:val="22"/>
        </w:rPr>
        <w:t xml:space="preserve">, the Respondent stated by email of 16 October 2026: "The Regulator confirms the veracity of these documents."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00"/>
        <w:gridCol w:w="4400"/>
        <w:gridCol w:w="1300"/>
        <w:gridCol w:w="1500"/>
        <w:gridCol w:w="1838"/>
      </w:tblGrid>
      <w:tr>
        <w:trPr>
          <w:cantSplit/>
          <w:tblHeader/>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16 Oct 2026</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32A</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Manager Switchboard Services, Logan Hospital (AO4), RD 30478699 (Item 6)</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June 2020</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COVID-19 Pandemic Event - Paid Special Pandemic Leave (Item 13); the same instrument as Tab 29</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signed 23 Nov 2022</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(as Tab 29); tender</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Facts 228 to 231 and the spreadsheet provided on 12 October 2026.</w:t>
      </w:r>
      <w:r>
        <w:rPr>
          <w:rFonts w:ascii="Times New Roman" w:cs="Times New Roman" w:eastAsia="Times New Roman" w:hAnsi="Times New Roman"/>
          <w:sz w:val="22"/>
          <w:szCs w:val="22"/>
        </w:rPr>
        <w:t xml:space="preserve"> The rows are those of the sheet "MARCH 2024" in the spreadsheet, which has the columns DATE, TIME, CODE AND LOCATION, PAGER and EXTRA INFORMATION.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00"/>
        <w:gridCol w:w="5300"/>
        <w:gridCol w:w="3638"/>
      </w:tblGrid>
      <w:tr>
        <w:trPr>
          <w:cantSplit/>
          <w:tblHeader/>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Fact</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The fact as served on 28 August 2026 (not admitted on 8 September 2026)</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Rows of the sheet "MARCH 2024" in the spreadsheet provided on 12 October 2026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228</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A register titled "2024 Emergency Code Register" records, for 17 March 2024, eight entries, including "MET CALL WARD 2H BED 7" at 19:16, "CODE BLUE WARD 2H BED 7" at 19:20 and "MET CALL WARD 2Q BED 5" at 21:16.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9 to 16 are the eight entries for 17 March 2024. The three entries quoted are rows 14, 15 and 16.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229</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That register records, for 18 March 2024: "CODE GREY QAS TRIAGE AIRLOCK" at 8:48; "MET CALL WARD 6A BED 8" at 9:20; "MET CALL WARD 3DR BED 14" at 11:31; "CANCELLED MET CALL WARD 3DR BED 14" at 11:32; "NEONATAL MET CALL THEATRE 2" at 11:35; and "NEONATAL MET CALL BIRTH SUITES 5" at 13:09.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in the order quoted.</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230</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Six of the entries recorded in that register for 18 March 2024 bear times between 6:00 and 14:00.</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Row 17 is the first entry for 18 March 2024; the next entry, row 23, is at 14:38.</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231</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That register records, for 19 March 2024 at 11:34, "MET CALL WARD 2I BED 20" with the notation "CALLED VIA SWITRCHBOARD" [sic].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Row 33. The notation is in column E, "EXTRA INFORMATION".</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2: other documents relied on in the proposed Second Amended Form 9A that are not at Annexure 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2122"/>
        <w:gridCol w:w="3084"/>
      </w:tblGrid>
      <w:tr>
        <w:trPr>
          <w:cantSplit/>
          <w:tblHeader/>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Relied on at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Status or source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outlines of the evidence of Ms Taylor, Ms Reese, Ms Wright and Ms Earl</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1(l), 2(n) to 2(o), 3(c); Stressor 3 agreement and pleaded-answer paragraphs; Part C, paragraph 5A</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Served by the Respondent on 24 September 2026; available to the Commission on request. An outline is not evidence.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spreadsheet of recorded MET calls for 17 and 18 March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3(b)</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Health states that it is available [¶ 268].</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Logan Hospital emergency code procedures referred to in the role description</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role description [¶ 8] (Tab 1).</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documents recording the advice of Human Resources on the 8-hour agreement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outlines (first row)</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outlines of Ms Taylor and Ms Reese refer to them; neither identifies them.</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Communication Book</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1(a); Part B.5.4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listed in the Respondent's amended List of Documents of 14 August 2026; paragraph 154 of the notice was not admitted.</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2(n) to 2(o); Part B.4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in July 2025.</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Stressors 1(e) and 1(l); for 1(i), the date of the complaint only</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on 11 June 2026.</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Health's Code Blue procedure 001443 (Royal Brisbane and Women's Hospital, version 5, April 2020)</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 the types of Code Blue and the role of Switchboard Services</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Queensland Ombudsman's Neville Report (June 2006) and its 2011 update, and the Coroner's findings of 12 September 2008</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framework history: the origin of the fatigue framework</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documents.</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monthly call statistics for April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 the operating conditions; Stressor 3(b), the ordinary-call-load paragraph</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Appellant's own record and evidence (Part B preamble).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 Fatigue Risk Management Systems Implementation Guideline QH-GDL-401-3.3:2021 (the full disclosed guideline)</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3(h) and the supporting fatigue records; the quotations from the guideline</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in full with the 20 May 2024 email chain on 14 July 2025. Tab 8A at Annexure A is the cover page only.</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3: index of the dated particulars in the proposed Second Amended Form 9A (index only; not additional stressors).</w:t>
      </w:r>
      <w:r>
        <w:rPr>
          <w:rFonts w:ascii="Times New Roman" w:cs="Times New Roman" w:eastAsia="Times New Roman" w:hAnsi="Times New Roman"/>
          <w:sz w:val="22"/>
          <w:szCs w:val="22"/>
        </w:rPr>
        <w:t xml:space="preserve"> 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40"/>
        <w:gridCol w:w="1926"/>
        <w:gridCol w:w="1926"/>
        <w:gridCol w:w="5146"/>
      </w:tblGrid>
      <w:tr>
        <w:trPr>
          <w:cantSplit/>
          <w:tblHeader/>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No.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 or date range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Particular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Brief description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 or around 6 June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Removal of the Communication Book entry</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Entry removed and management response recorded;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July 2023 to 18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Database access and the restricted correction process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Operators lost access; amendments were channelled through specified staff.</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16 October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and the move to full time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error, responses and application for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August 2023 to 17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Notification of variable office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Variable hours were stated; no intervening statement of fixed hours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Pandemic leave submissions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declines and three submissions; context here and entitlement issue in 2(b).</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After hours on call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New process was stated to take effect that day.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 entry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review decision records a new checking process following data entry errors.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 to 9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Misdirected calls and the MASPER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reports recorded nine occasions before a revised process was communicated.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complaint of 13 May 2024</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Date of the complaint; chronology only, with no causal allegation.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to 15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On-call roster and absence notification instructions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circulated on the first day of the fortnight it covered; notification of unavailability channelled through the manager from 14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Respiratory directory error and requests for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Repeated requests, the Appellant’s escalation and management reply.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request and the retraction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for clarity, retraction request, hours clarification and follow-up.</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Seven hours recorded instead of eight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5 February was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Processing of paid pandemic leave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submissions and two declines before final approval.</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Second shift recorded as seven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19 February was also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Overtime recorded as ordinary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too many ordinary shifts and a need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holiday claim submitted late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later described the 30 March public holiday claim as submitted late; relied on as Payroll's later account, not as an admission.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Hours above the contracted fortnight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further requirement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 enquiry and public holiday review</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Enquiry, acknowledgment, follow-up and response; public holiday review remained open.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four fortnight corrections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the manager to submit an AVAC for each affected fortnight.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to 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Follow-up found no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followed up; Payroll referred him back to the line manager.</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16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 completed AVAC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 16328886 was submitted on 15 May and completed on 16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about rostering</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with HR and attached the fatigue guideline; record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Manager awaited Payroll confirmation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manager said she was still waiting for confirmation.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2(m)</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to 30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request and partly completed AVAC</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sought; process 16450619 was recorded as "Part Completed".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2(n)</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corrections reached a payslip</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adjustments for 28 February, 30 March and 1 April;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June to 2 July 2025</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Later correction of the 9 February shift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later amendment and pay date;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4 September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Earlier roster error and proposed roster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Rest was offered after an acknowledged error; the Appellant proposed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to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Consecutive shifts and the seven-hour break</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Rostered interval, travel, rest and workload relied on in their operational context.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Sick leave after the consecutive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record shows 7.60 hours of approved sick leave; the fatigue entitlement is disputed.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enquiry and refusal</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Acknowledged on 9 April; substantive response and refusal after 23 days.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 to 26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line error and proposed alternatives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Error acknowledged after the meeting; no subsequent contact about alternatives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to 8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toolkit raised and HR advice awaited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sought action on the toolkit; the Director said she was awaiting advice.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Risk rating and roster decision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recorded his fatigue concerns, a moderate rating and an undisclosed roster decision; internal record.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with the fatigue guideline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her earlier query and attached the guideline; internal record.</w:t>
            </w:r>
          </w:p>
        </w:tc>
      </w:tr>
    </w:tbl>
    <w:sectPr>
      <w:footerReference w:type="default" r:id="rId7"/>
      <w:pgSz w:w="11906" w:h="16838" w:orient="portrait"/>
      <w:pgMar w:top="1134" w:right="1134" w:bottom="1134" w:left="1134"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Schedule of 1 October 2026, updated</dc:title>
  <dc:creator>Cory Lea Shepherd</dc:creator>
  <cp:lastModifiedBy>Cory Lea Shepherd</cp:lastModifiedBy>
  <cp:revision>1</cp:revision>
  <dcterms:created xsi:type="dcterms:W3CDTF">2026-10-19T03:13:40.823Z</dcterms:created>
  <dcterms:modified xsi:type="dcterms:W3CDTF">2026-10-19T03:13:40.823Z</dcterms:modified>
</cp:coreProperties>
</file>

<file path=docProps/custom.xml><?xml version="1.0" encoding="utf-8"?>
<Properties xmlns="http://schemas.openxmlformats.org/officeDocument/2006/custom-properties" xmlns:vt="http://schemas.openxmlformats.org/officeDocument/2006/docPropsVTypes"/>
</file>