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80" w:line="264" w:lineRule="auto"/>
      </w:pPr>
      <w:r>
        <w:rPr>
          <w:rFonts w:ascii="Arial" w:hAnsi="Arial" w:cs="Arial"/>
          <w:sz w:val="19"/>
          <w:szCs w:val="19"/>
        </w:rPr>
        <w:t>1 October 2026</w:t>
      </w:r>
    </w:p>
    <w:p>
      <w:pPr>
        <w:spacing w:before="0" w:after="0" w:line="264" w:lineRule="auto"/>
      </w:pPr>
      <w:r>
        <w:rPr>
          <w:rFonts w:ascii="Arial" w:hAnsi="Arial" w:cs="Arial"/>
          <w:sz w:val="19"/>
          <w:szCs w:val="19"/>
        </w:rPr>
        <w:t>The Industrial Registrar</w:t>
      </w:r>
    </w:p>
    <w:p>
      <w:pPr>
        <w:spacing w:before="0" w:after="0" w:line="264" w:lineRule="auto"/>
      </w:pPr>
      <w:r>
        <w:rPr>
          <w:rFonts w:ascii="Arial" w:hAnsi="Arial" w:cs="Arial"/>
          <w:sz w:val="19"/>
          <w:szCs w:val="19"/>
        </w:rPr>
        <w:t>Queensland Industrial Relations Commission</w:t>
      </w:r>
    </w:p>
    <w:p>
      <w:pPr>
        <w:spacing w:before="0" w:after="0" w:line="264" w:lineRule="auto"/>
      </w:pPr>
      <w:r>
        <w:rPr>
          <w:rFonts w:ascii="Arial" w:hAnsi="Arial" w:cs="Arial"/>
          <w:sz w:val="19"/>
          <w:szCs w:val="19"/>
        </w:rPr>
        <w:t>qirc.registry@qirc.qld.gov.au</w:t>
      </w:r>
    </w:p>
    <w:p>
      <w:pPr>
        <w:spacing w:before="0" w:after="0" w:line="264" w:lineRule="auto"/>
      </w:pPr>
      <w:r>
        <w:rPr>
          <w:rFonts w:ascii="Arial" w:hAnsi="Arial" w:cs="Arial"/>
          <w:sz w:val="19"/>
          <w:szCs w:val="19"/>
        </w:rPr>
        <w:t>Attention: Chambers of Commissioner Dwyer</w:t>
      </w:r>
    </w:p>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Copy: Ms Renee Matheson, Senior Appeals Officer, Workers' Compensation Regulator (Renee.Matheson@oir.qld.gov.au)</w:t>
      </w:r>
    </w:p>
    <w:p>
      <w:pPr>
        <w:spacing w:before="0" w:after="80" w:line="264" w:lineRule="auto"/>
      </w:pPr>
      <w:r>
        <w:rPr>
          <w:rFonts w:ascii="Arial" w:hAnsi="Arial" w:cs="Arial"/>
          <w:b/>
          <w:sz w:val="19"/>
          <w:szCs w:val="19"/>
        </w:rPr>
        <w:t>WC/2024/227 - Cory Lea Shepherd v Workers' Compensation Regulator</w:t>
      </w:r>
    </w:p>
    <w:p>
      <w:pPr>
        <w:spacing w:before="0" w:after="120" w:line="264" w:lineRule="auto"/>
      </w:pPr>
      <w:r>
        <w:rPr>
          <w:rFonts w:ascii="Arial" w:hAnsi="Arial" w:cs="Arial"/>
          <w:b/>
          <w:sz w:val="19"/>
          <w:szCs w:val="19"/>
        </w:rPr>
        <w:t>Direction 5 election; application for leave to file a Second Amended Statement of Facts and Contentions (Form 9A); status of the documents</w:t>
      </w:r>
    </w:p>
    <w:p>
      <w:pPr>
        <w:spacing w:before="0" w:after="80" w:line="264" w:lineRule="auto"/>
      </w:pPr>
      <w:r>
        <w:rPr>
          <w:rFonts w:ascii="Arial" w:hAnsi="Arial" w:cs="Arial"/>
          <w:b/>
          <w:sz w:val="19"/>
          <w:szCs w:val="19"/>
        </w:rPr>
        <w:t xml:space="preserve">Direction 5. </w:t>
      </w:r>
      <w:r>
        <w:rPr>
          <w:rFonts w:ascii="Arial" w:hAnsi="Arial" w:cs="Arial"/>
          <w:sz w:val="19"/>
          <w:szCs w:val="19"/>
        </w:rPr>
        <w:t>Under direction 5 of the Further Directions Order (3) of 19 August 2026, the Appellant elects a further conference under section 552A of the Workers' Compensation and Rehabilitation Act 2003, and asks that the application below be dealt with at or before it. This election is made on 1 October 2026, the day after the time for the Respondent's list of witnesses, outlines of evidence and expert reports under directions 3 and 4 expired.</w:t>
      </w:r>
    </w:p>
    <w:p>
      <w:pPr>
        <w:spacing w:before="0" w:after="80" w:line="264" w:lineRule="auto"/>
      </w:pPr>
      <w:r>
        <w:rPr>
          <w:rFonts w:ascii="Arial" w:hAnsi="Arial" w:cs="Arial"/>
          <w:b/>
          <w:sz w:val="19"/>
          <w:szCs w:val="19"/>
        </w:rPr>
        <w:t xml:space="preserve">The application. </w:t>
      </w:r>
      <w:r>
        <w:rPr>
          <w:rFonts w:ascii="Arial" w:hAnsi="Arial" w:cs="Arial"/>
          <w:b w:val="0"/>
          <w:sz w:val="19"/>
          <w:szCs w:val="19"/>
        </w:rPr>
        <w:t xml:space="preserve">The Appellant was an Administration Officer on the Logan Hospital Switchboard; the Respondent admits that maintaining accurate contact details for medical staff is a critical function of the Switchboard to ensure effective clinical handover and patient safety (fact 289). The Appellant applies for leave to file and serve the enclosed Second Amended Statement of Facts and Contentions (Form 9A), under section 451(2) of the Industrial Relations Act 2016. A copy goes to the Respondent with this letter, and its consent is sought. Since the Amended Form 9A of 7 April 2026, the Respondent has admitted 298 of the 303 facts in the Appellant's notice of 28 August 2026, and has admitted or since confirmed 29 of the 39 documents behind them. The amendment accepts that the onus of proof is on the Appellant, withdraws the descriptions of conduct used in the earlier pleading, and adds no new stressor or allegation. No hearing date has been set, so the amendment is sought before either party prepares for hearing on the earlier pleading. The Appellant does not oppose the Respondent having time to amend its own statement of facts and contentions.</w:t>
      </w:r>
    </w:p>
    <w:p>
      <w:pPr>
        <w:spacing w:before="0" w:after="80" w:line="264" w:lineRule="auto"/>
      </w:pPr>
      <w:r>
        <w:rPr>
          <w:rFonts w:ascii="Arial" w:hAnsi="Arial" w:cs="Arial"/>
          <w:b/>
          <w:sz w:val="19"/>
          <w:szCs w:val="19"/>
        </w:rPr>
        <w:t xml:space="preserve">The Respondent's notified case as at 30 September 2026. </w:t>
      </w:r>
      <w:r>
        <w:rPr>
          <w:rFonts w:ascii="Arial" w:hAnsi="Arial" w:cs="Arial"/>
          <w:sz w:val="19"/>
          <w:szCs w:val="19"/>
        </w:rPr>
        <w:t xml:space="preserve">(1) Its review decision of 24 October 2024 found that the Appellant sustained a personal injury of a psychological nature, arising out of employment to the extent it arose out of factors 2, 3 and 4, where employment was a significant contributing factor (facts 261 and 262); the claim was rejected under section 32(5). (2) Paragraph 27 of its amended statement of facts and contentions, which contends that any management action was reasonable management action taken in a reasonable way, does not identify the management action relied upon; that was admitted on 8 September 2026 (fact 303). (3) It has named no medical or expert witness and served no expert report: its list of 24 September 2026 names four witnesses, Ms Taylor, Ms Reese, Ms Wright and Ms Earl, described as "lay" witnesses, and it served outlines of their evidence. (4) Its outlines of evidence state that the seven-hour break of 17 to 18 March 2024 was "the result of human error" and, on the advice returned within payroll, "a rostering practice issue for the line manager"; and that the second decline of the paid Special Pandemic Leave request "appears to have been made in error". The Appellant asks that, at the opening of the conference, the Respondent be asked to state its position on paragraph 27 in light of those matters: whether it maintains it, will particularise it, or seeks time (items 2 and 5 of the election).</w:t>
      </w:r>
    </w:p>
    <w:p>
      <w:pPr>
        <w:spacing w:before="0" w:after="80" w:line="264" w:lineRule="auto"/>
      </w:pPr>
      <w:r>
        <w:rPr>
          <w:rFonts w:ascii="Arial" w:hAnsi="Arial" w:cs="Arial"/>
          <w:b/>
          <w:sz w:val="19"/>
          <w:szCs w:val="19"/>
        </w:rPr>
        <w:t xml:space="preserve">The record, available on request. </w:t>
      </w:r>
      <w:r>
        <w:rPr>
          <w:rFonts w:ascii="Arial" w:hAnsi="Arial" w:cs="Arial"/>
          <w:sz w:val="19"/>
          <w:szCs w:val="19"/>
        </w:rPr>
        <w:t>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w:t>
      </w:r>
    </w:p>
    <w:p>
      <w:pPr>
        <w:spacing w:before="0" w:after="80" w:line="264" w:lineRule="auto"/>
      </w:pPr>
      <w:r>
        <w:rPr>
          <w:rFonts w:ascii="Arial" w:hAnsi="Arial" w:cs="Arial"/>
          <w:b/>
          <w:sz w:val="19"/>
          <w:szCs w:val="19"/>
        </w:rPr>
        <w:t xml:space="preserve">The documents. </w:t>
      </w:r>
      <w:r>
        <w:rPr>
          <w:rFonts w:ascii="Arial" w:hAnsi="Arial" w:cs="Arial"/>
          <w:sz w:val="19"/>
          <w:szCs w:val="19"/>
        </w:rPr>
        <w:t>Part 1 of the schedule on the following pages states the status of each of the 39 documents at Annexure A to the notices of 28 August 2026; Part 2 lists the other documents the pleading relies on; Part 3 indexes the dated particulars of the Second Amended Form 9A and adds no stressor. The Appellant asks that the Respondent be directed to state, by a date the Commission fixes, whether it disputes the authenticity of each of the ten outstanding documents and on what ground; and that, if it does not, they be taken to be authentic and received at hearing.</w:t>
      </w:r>
    </w:p>
    <w:p>
      <w:pPr>
        <w:spacing w:before="0" w:after="200" w:line="264" w:lineRule="auto"/>
      </w:pPr>
      <w:r>
        <w:rPr>
          <w:rFonts w:ascii="Arial" w:hAnsi="Arial" w:cs="Arial"/>
          <w:sz w:val="19"/>
          <w:szCs w:val="19"/>
        </w:rPr>
        <w:t>The Appellant asks that this letter and its enclosure be placed before Commissioner Dwyer and will proceed on the orders made.</w:t>
      </w:r>
      <w:r>
        <w:rPr>
          <w:sz w:val="19"/>
        </w:rPr>
        <w:t xml:space="preserve"> The combined package exceeds 30 pages. In view of Practice Direction 3 of 2021, the Appellant seeks directions about providing hard copies or permission to file the complete package electronically.</w:t>
      </w:r>
    </w:p>
    <w:p>
      <w:pPr>
        <w:spacing w:before="0" w:after="80" w:line="264" w:lineRule="auto"/>
      </w:pPr>
      <w:r>
        <w:rPr>
          <w:rFonts w:ascii="Arial" w:hAnsi="Arial" w:cs="Arial"/>
          <w:sz w:val="19"/>
          <w:szCs w:val="19"/>
        </w:rPr>
        <w:t>This letter accompanies the Appellant's election and requested directions. Enclosure: Second Amended Statement of Facts and Contentions (Form 9A).</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0" w:after="80" w:line="264" w:lineRule="auto"/>
      </w:pPr>
      <w:r>
        <w:rPr>
          <w:rFonts w:ascii="Arial" w:hAnsi="Arial" w:cs="Arial"/>
          <w:b/>
          <w:sz w:val="19"/>
          <w:szCs w:val="19"/>
        </w:rPr>
        <w:t>Cory Lea Shepherd, Appellant (self-represented)</w:t>
      </w:r>
    </w:p>
    <w:p>
      <w:pPr>
        <w:spacing w:before="0" w:after="120" w:line="264" w:lineRule="auto"/>
      </w:pPr>
      <w:r>
        <w:rPr>
          <w:rFonts w:ascii="Arial" w:hAnsi="Arial" w:cs="Arial"/>
          <w:sz w:val="19"/>
          <w:szCs w:val="19"/>
        </w:rPr>
      </w:r>
    </w:p>
    <w:p>
      <w:pPr>
        <w:keepNext/>
        <w:spacing w:before="0" w:after="120" w:line="264" w:lineRule="auto"/>
      </w:pPr>
      <w:r>
        <w:rPr>
          <w:rFonts w:ascii="Arial" w:hAnsi="Arial" w:cs="Arial"/>
          <w:b/>
          <w:sz w:val="19"/>
          <w:szCs w:val="19"/>
        </w:rPr>
        <w:t>Schedule, Part 1: the 39 documents at Annexure A (notices to admit served 28 August 2026) and their status</w:t>
      </w:r>
    </w:p>
    <w:p>
      <w:pPr>
        <w:spacing w:before="0" w:after="100" w:line="264" w:lineRule="auto"/>
      </w:pPr>
      <w:r>
        <w:rPr>
          <w:rFonts w:ascii="Arial" w:hAnsi="Arial" w:cs="Arial"/>
          <w:sz w:val="19"/>
          <w:szCs w:val="19"/>
        </w:rPr>
        <w:t>The 39 documents at Annexure A to the notices to admit served 28 August 2026 are the documents from which the facts in Part B of the Second Amended Form 9A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0"/>
        <w:gridCol w:w="3370"/>
        <w:gridCol w:w="1350"/>
        <w:gridCol w:w="860"/>
        <w:gridCol w:w="1540"/>
        <w:gridCol w:w="203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Tab</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Date</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8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23 Sep 2026</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Position now</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1A</w:t>
            </w:r>
          </w:p>
        </w:tc>
        <w:tc>
          <w:tcPr>
            <w:tcMar>
              <w:top w:w="65" w:type="dxa"/>
              <w:left w:w="80" w:type="dxa"/>
              <w:bottom w:w="65" w:type="dxa"/>
              <w:right w:w="80" w:type="dxa"/>
            </w:tcMar>
          </w:tcPr>
          <w:p>
            <w:pPr>
              <w:spacing w:after="0"/>
            </w:pPr>
            <w:r>
              <w:rPr>
                <w:rFonts w:ascii="Arial" w:hAnsi="Arial" w:cs="Arial"/>
                <w:color w:val="000000"/>
                <w:sz w:val="16"/>
                <w:szCs w:val="16"/>
              </w:rPr>
              <w:t xml:space="preserve">Stibbard to the Switchboard team, "Hello &amp; Update"</w:t>
            </w:r>
          </w:p>
        </w:tc>
        <w:tc>
          <w:tcPr>
            <w:tcMar>
              <w:top w:w="65" w:type="dxa"/>
              <w:left w:w="80" w:type="dxa"/>
              <w:bottom w:w="65" w:type="dxa"/>
              <w:right w:w="80" w:type="dxa"/>
            </w:tcMar>
          </w:tcPr>
          <w:p>
            <w:pPr>
              <w:spacing w:after="0"/>
            </w:pPr>
            <w:r>
              <w:rPr>
                <w:rFonts w:ascii="Arial" w:hAnsi="Arial" w:cs="Arial"/>
                <w:color w:val="000000"/>
                <w:sz w:val="16"/>
                <w:szCs w:val="16"/>
              </w:rPr>
              <w:t xml:space="preserve">18 Jul 2023, 12:56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1B</w:t>
            </w:r>
          </w:p>
        </w:tc>
        <w:tc>
          <w:tcPr>
            <w:tcMar>
              <w:top w:w="65" w:type="dxa"/>
              <w:left w:w="80" w:type="dxa"/>
              <w:bottom w:w="65" w:type="dxa"/>
              <w:right w:w="80" w:type="dxa"/>
            </w:tcMar>
          </w:tcPr>
          <w:p>
            <w:pPr>
              <w:spacing w:after="0"/>
            </w:pPr>
            <w:r>
              <w:rPr>
                <w:rFonts w:ascii="Arial" w:hAnsi="Arial" w:cs="Arial"/>
                <w:color w:val="000000"/>
                <w:sz w:val="16"/>
                <w:szCs w:val="16"/>
              </w:rPr>
              <w:t xml:space="preserve">Taylor to Reese, "Fwd: Communication Book Update", with her email to Logan Switch of 9:57 am that day</w:t>
            </w:r>
          </w:p>
        </w:tc>
        <w:tc>
          <w:tcPr>
            <w:tcMar>
              <w:top w:w="65" w:type="dxa"/>
              <w:left w:w="80" w:type="dxa"/>
              <w:bottom w:w="65" w:type="dxa"/>
              <w:right w:w="80" w:type="dxa"/>
            </w:tcMar>
          </w:tcPr>
          <w:p>
            <w:pPr>
              <w:spacing w:after="0"/>
            </w:pPr>
            <w:r>
              <w:rPr>
                <w:rFonts w:ascii="Arial" w:hAnsi="Arial" w:cs="Arial"/>
                <w:color w:val="000000"/>
                <w:sz w:val="16"/>
                <w:szCs w:val="16"/>
              </w:rPr>
              <w:t xml:space="preserve">6 Jun 2023, 4:05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w:t>
            </w:r>
          </w:p>
        </w:tc>
        <w:tc>
          <w:tcPr>
            <w:tcMar>
              <w:top w:w="65" w:type="dxa"/>
              <w:left w:w="80" w:type="dxa"/>
              <w:bottom w:w="65" w:type="dxa"/>
              <w:right w:w="80" w:type="dxa"/>
            </w:tcMar>
          </w:tcPr>
          <w:p>
            <w:pPr>
              <w:spacing w:after="0"/>
            </w:pPr>
            <w:r>
              <w:rPr>
                <w:rFonts w:ascii="Arial" w:hAnsi="Arial" w:cs="Arial"/>
                <w:color w:val="000000"/>
                <w:sz w:val="16"/>
                <w:szCs w:val="16"/>
              </w:rPr>
              <w:t xml:space="preserve">"Increase of hours and Workplace issues" chain and Reese's replies</w:t>
            </w:r>
          </w:p>
        </w:tc>
        <w:tc>
          <w:tcPr>
            <w:tcMar>
              <w:top w:w="65" w:type="dxa"/>
              <w:left w:w="80" w:type="dxa"/>
              <w:bottom w:w="65" w:type="dxa"/>
              <w:right w:w="80" w:type="dxa"/>
            </w:tcMar>
          </w:tcPr>
          <w:p>
            <w:pPr>
              <w:spacing w:after="0"/>
            </w:pPr>
            <w:r>
              <w:rPr>
                <w:rFonts w:ascii="Arial" w:hAnsi="Arial" w:cs="Arial"/>
                <w:color w:val="000000"/>
                <w:sz w:val="16"/>
                <w:szCs w:val="16"/>
              </w:rPr>
              <w:t xml:space="preserve">7-10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3</w:t>
            </w:r>
          </w:p>
        </w:tc>
        <w:tc>
          <w:tcPr>
            <w:tcMar>
              <w:top w:w="65" w:type="dxa"/>
              <w:left w:w="80" w:type="dxa"/>
              <w:bottom w:w="65" w:type="dxa"/>
              <w:right w:w="80" w:type="dxa"/>
            </w:tcMar>
          </w:tcPr>
          <w:p>
            <w:pPr>
              <w:spacing w:after="0"/>
            </w:pPr>
            <w:r>
              <w:rPr>
                <w:rFonts w:ascii="Arial" w:hAnsi="Arial" w:cs="Arial"/>
                <w:color w:val="000000"/>
                <w:sz w:val="16"/>
                <w:szCs w:val="16"/>
              </w:rPr>
              <w:t xml:space="preserve">Reese attaching HR Policy E12; emails of 4 and 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29 Aug-8 Sep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4</w:t>
            </w:r>
          </w:p>
        </w:tc>
        <w:tc>
          <w:tcPr>
            <w:tcMar>
              <w:top w:w="65" w:type="dxa"/>
              <w:left w:w="80" w:type="dxa"/>
              <w:bottom w:w="65" w:type="dxa"/>
              <w:right w:w="80" w:type="dxa"/>
            </w:tcMar>
          </w:tcPr>
          <w:p>
            <w:pPr>
              <w:spacing w:after="0"/>
            </w:pPr>
            <w:r>
              <w:rPr>
                <w:rFonts w:ascii="Arial" w:hAnsi="Arial" w:cs="Arial"/>
                <w:color w:val="000000"/>
                <w:sz w:val="16"/>
                <w:szCs w:val="16"/>
              </w:rPr>
              <w:t xml:space="preserve">"Request to Increase Working Hours to Full Time Rotational Roster"; emails of 7 Aug 2023 1:43 pm and 5:11 pm</w:t>
            </w:r>
          </w:p>
        </w:tc>
        <w:tc>
          <w:tcPr>
            <w:tcMar>
              <w:top w:w="65" w:type="dxa"/>
              <w:left w:w="80" w:type="dxa"/>
              <w:bottom w:w="65" w:type="dxa"/>
              <w:right w:w="80" w:type="dxa"/>
            </w:tcMar>
          </w:tcPr>
          <w:p>
            <w:pPr>
              <w:spacing w:after="0"/>
            </w:pPr>
            <w:r>
              <w:rPr>
                <w:rFonts w:ascii="Arial" w:hAnsi="Arial" w:cs="Arial"/>
                <w:color w:val="000000"/>
                <w:sz w:val="16"/>
                <w:szCs w:val="16"/>
              </w:rPr>
              <w:t xml:space="preserve">7 and 31 Aug 2023</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7</w:t>
            </w:r>
          </w:p>
        </w:tc>
        <w:tc>
          <w:tcPr>
            <w:tcMar>
              <w:top w:w="65" w:type="dxa"/>
              <w:left w:w="80" w:type="dxa"/>
              <w:bottom w:w="65" w:type="dxa"/>
              <w:right w:w="80" w:type="dxa"/>
            </w:tcMar>
          </w:tcPr>
          <w:p>
            <w:pPr>
              <w:spacing w:after="0"/>
            </w:pPr>
            <w:r>
              <w:rPr>
                <w:rFonts w:ascii="Arial" w:hAnsi="Arial" w:cs="Arial"/>
                <w:color w:val="000000"/>
                <w:sz w:val="16"/>
                <w:szCs w:val="16"/>
              </w:rPr>
              <w:t xml:space="preserve">"Roster Concerns" chain</w:t>
            </w:r>
          </w:p>
        </w:tc>
        <w:tc>
          <w:tcPr>
            <w:tcMar>
              <w:top w:w="65" w:type="dxa"/>
              <w:left w:w="80" w:type="dxa"/>
              <w:bottom w:w="65" w:type="dxa"/>
              <w:right w:w="80" w:type="dxa"/>
            </w:tcMar>
          </w:tcPr>
          <w:p>
            <w:pPr>
              <w:spacing w:after="0"/>
            </w:pPr>
            <w:r>
              <w:rPr>
                <w:rFonts w:ascii="Arial" w:hAnsi="Arial" w:cs="Arial"/>
                <w:color w:val="000000"/>
                <w:sz w:val="16"/>
                <w:szCs w:val="16"/>
              </w:rPr>
              <w:t xml:space="preserve">26 Apr-8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w:t>
            </w:r>
          </w:p>
        </w:tc>
        <w:tc>
          <w:tcPr>
            <w:tcMar>
              <w:top w:w="65" w:type="dxa"/>
              <w:left w:w="80" w:type="dxa"/>
              <w:bottom w:w="65" w:type="dxa"/>
              <w:right w:w="80" w:type="dxa"/>
            </w:tcMar>
          </w:tcPr>
          <w:p>
            <w:pPr>
              <w:spacing w:after="0"/>
            </w:pPr>
            <w:r>
              <w:rPr>
                <w:rFonts w:ascii="Arial" w:hAnsi="Arial" w:cs="Arial"/>
                <w:color w:val="000000"/>
                <w:sz w:val="16"/>
                <w:szCs w:val="16"/>
              </w:rPr>
              <w:t xml:space="preserve">Reese to Pritchard "FW: Roster Concerns"; Reese to LBH_HR attaching qh-gdl-401-3.3</w:t>
            </w:r>
          </w:p>
        </w:tc>
        <w:tc>
          <w:tcPr>
            <w:tcMar>
              <w:top w:w="65" w:type="dxa"/>
              <w:left w:w="80" w:type="dxa"/>
              <w:bottom w:w="65" w:type="dxa"/>
              <w:right w:w="80" w:type="dxa"/>
            </w:tcMar>
          </w:tcPr>
          <w:p>
            <w:pPr>
              <w:spacing w:after="0"/>
            </w:pPr>
            <w:r>
              <w:rPr>
                <w:rFonts w:ascii="Arial" w:hAnsi="Arial" w:cs="Arial"/>
                <w:color w:val="000000"/>
                <w:sz w:val="16"/>
                <w:szCs w:val="16"/>
              </w:rPr>
              <w:t xml:space="preserve">10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8A</w:t>
            </w:r>
          </w:p>
        </w:tc>
        <w:tc>
          <w:tcPr>
            <w:tcMar>
              <w:top w:w="65" w:type="dxa"/>
              <w:left w:w="80" w:type="dxa"/>
              <w:bottom w:w="65" w:type="dxa"/>
              <w:right w:w="80" w:type="dxa"/>
            </w:tcMar>
          </w:tcPr>
          <w:p>
            <w:pPr>
              <w:spacing w:after="0"/>
            </w:pPr>
            <w:r>
              <w:rPr>
                <w:rFonts w:ascii="Arial" w:hAnsi="Arial" w:cs="Arial"/>
                <w:color w:val="000000"/>
                <w:sz w:val="16"/>
                <w:szCs w:val="16"/>
              </w:rPr>
              <w:t xml:space="preserve">Cover page, Fatigue risk management systems implementation guideline QH-GDL-401-3.3:2021</w:t>
            </w:r>
          </w:p>
        </w:tc>
        <w:tc>
          <w:tcPr>
            <w:tcMar>
              <w:top w:w="65" w:type="dxa"/>
              <w:left w:w="80" w:type="dxa"/>
              <w:bottom w:w="65" w:type="dxa"/>
              <w:right w:w="80" w:type="dxa"/>
            </w:tcMar>
          </w:tcPr>
          <w:p>
            <w:pPr>
              <w:spacing w:after="0"/>
            </w:pPr>
            <w:r>
              <w:rPr>
                <w:rFonts w:ascii="Arial" w:hAnsi="Arial" w:cs="Arial"/>
                <w:color w:val="000000"/>
                <w:sz w:val="16"/>
                <w:szCs w:val="16"/>
              </w:rPr>
              <w:t xml:space="preserve">2021</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8B</w:t>
            </w:r>
          </w:p>
        </w:tc>
        <w:tc>
          <w:tcPr>
            <w:tcMar>
              <w:top w:w="65" w:type="dxa"/>
              <w:left w:w="80" w:type="dxa"/>
              <w:bottom w:w="65" w:type="dxa"/>
              <w:right w:w="80" w:type="dxa"/>
            </w:tcMar>
          </w:tcPr>
          <w:p>
            <w:pPr>
              <w:spacing w:after="0"/>
            </w:pPr>
            <w:r>
              <w:rPr>
                <w:rFonts w:ascii="Arial" w:hAnsi="Arial" w:cs="Arial"/>
                <w:color w:val="000000"/>
                <w:sz w:val="16"/>
                <w:szCs w:val="16"/>
              </w:rPr>
              <w:t xml:space="preserve">MASPER emails (Taylor to Kwok and Wong; "MASPER process") and issue logs</w:t>
            </w:r>
          </w:p>
        </w:tc>
        <w:tc>
          <w:tcPr>
            <w:tcMar>
              <w:top w:w="65" w:type="dxa"/>
              <w:left w:w="80" w:type="dxa"/>
              <w:bottom w:w="65" w:type="dxa"/>
              <w:right w:w="80" w:type="dxa"/>
            </w:tcMar>
          </w:tcPr>
          <w:p>
            <w:pPr>
              <w:spacing w:after="0"/>
            </w:pPr>
            <w:r>
              <w:rPr>
                <w:rFonts w:ascii="Arial" w:hAnsi="Arial" w:cs="Arial"/>
                <w:color w:val="000000"/>
                <w:sz w:val="16"/>
                <w:szCs w:val="16"/>
              </w:rPr>
              <w:t xml:space="preserve">9 May 2024 (logs 2-8 May)</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8C</w:t>
            </w:r>
          </w:p>
        </w:tc>
        <w:tc>
          <w:tcPr>
            <w:tcMar>
              <w:top w:w="65" w:type="dxa"/>
              <w:left w:w="80" w:type="dxa"/>
              <w:bottom w:w="65" w:type="dxa"/>
              <w:right w:w="80" w:type="dxa"/>
            </w:tcMar>
          </w:tcPr>
          <w:p>
            <w:pPr>
              <w:spacing w:after="0"/>
            </w:pPr>
            <w:r>
              <w:rPr>
                <w:rFonts w:ascii="Arial" w:hAnsi="Arial" w:cs="Arial"/>
                <w:color w:val="000000"/>
                <w:sz w:val="16"/>
                <w:szCs w:val="16"/>
              </w:rPr>
              <w:t xml:space="preserve">Stibbard, "Switchboard After Hours On Call Manager PP24"</w:t>
            </w:r>
          </w:p>
        </w:tc>
        <w:tc>
          <w:tcPr>
            <w:tcMar>
              <w:top w:w="65" w:type="dxa"/>
              <w:left w:w="80" w:type="dxa"/>
              <w:bottom w:w="65" w:type="dxa"/>
              <w:right w:w="80" w:type="dxa"/>
            </w:tcMar>
          </w:tcPr>
          <w:p>
            <w:pPr>
              <w:spacing w:after="0"/>
            </w:pPr>
            <w:r>
              <w:rPr>
                <w:rFonts w:ascii="Arial" w:hAnsi="Arial" w:cs="Arial"/>
                <w:color w:val="000000"/>
                <w:sz w:val="16"/>
                <w:szCs w:val="16"/>
              </w:rPr>
              <w:t xml:space="preserve">13 May 2024, 4:29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w:t>
            </w:r>
          </w:p>
        </w:tc>
        <w:tc>
          <w:tcPr>
            <w:tcMar>
              <w:top w:w="65" w:type="dxa"/>
              <w:left w:w="80" w:type="dxa"/>
              <w:bottom w:w="65" w:type="dxa"/>
              <w:right w:w="80" w:type="dxa"/>
            </w:tcMar>
          </w:tcPr>
          <w:p>
            <w:pPr>
              <w:spacing w:after="0"/>
            </w:pPr>
            <w:r>
              <w:rPr>
                <w:rFonts w:ascii="Arial" w:hAnsi="Arial" w:cs="Arial"/>
                <w:color w:val="000000"/>
                <w:sz w:val="16"/>
                <w:szCs w:val="16"/>
              </w:rPr>
              <w:t xml:space="preserve">Taylor, "Switchboard Manager - On call and Hours."</w:t>
            </w:r>
          </w:p>
        </w:tc>
        <w:tc>
          <w:tcPr>
            <w:tcMar>
              <w:top w:w="65" w:type="dxa"/>
              <w:left w:w="80" w:type="dxa"/>
              <w:bottom w:w="65" w:type="dxa"/>
              <w:right w:w="80" w:type="dxa"/>
            </w:tcMar>
          </w:tcPr>
          <w:p>
            <w:pPr>
              <w:spacing w:after="0"/>
            </w:pPr>
            <w:r>
              <w:rPr>
                <w:rFonts w:ascii="Arial" w:hAnsi="Arial" w:cs="Arial"/>
                <w:color w:val="000000"/>
                <w:sz w:val="16"/>
                <w:szCs w:val="16"/>
              </w:rPr>
              <w:t xml:space="preserve">17 May 2024, 9:30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9A</w:t>
            </w:r>
          </w:p>
        </w:tc>
        <w:tc>
          <w:tcPr>
            <w:tcMar>
              <w:top w:w="65" w:type="dxa"/>
              <w:left w:w="80" w:type="dxa"/>
              <w:bottom w:w="65" w:type="dxa"/>
              <w:right w:w="80" w:type="dxa"/>
            </w:tcMar>
          </w:tcPr>
          <w:p>
            <w:pPr>
              <w:spacing w:after="0"/>
            </w:pPr>
            <w:r>
              <w:rPr>
                <w:rFonts w:ascii="Arial" w:hAnsi="Arial" w:cs="Arial"/>
                <w:color w:val="000000"/>
                <w:sz w:val="16"/>
                <w:szCs w:val="16"/>
              </w:rPr>
              <w:t xml:space="preserve">"Office Hours and Departmental Directives" chain (1:15 pm, 6:23 pm, 7:09 pm)</w:t>
            </w:r>
          </w:p>
        </w:tc>
        <w:tc>
          <w:tcPr>
            <w:tcMar>
              <w:top w:w="65" w:type="dxa"/>
              <w:left w:w="80" w:type="dxa"/>
              <w:bottom w:w="65" w:type="dxa"/>
              <w:right w:w="80" w:type="dxa"/>
            </w:tcMar>
          </w:tcPr>
          <w:p>
            <w:pPr>
              <w:spacing w:after="0"/>
            </w:pPr>
            <w:r>
              <w:rPr>
                <w:rFonts w:ascii="Arial" w:hAnsi="Arial" w:cs="Arial"/>
                <w:color w:val="000000"/>
                <w:sz w:val="16"/>
                <w:szCs w:val="16"/>
              </w:rPr>
              <w:t xml:space="preserve">15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9B</w:t>
            </w:r>
          </w:p>
        </w:tc>
        <w:tc>
          <w:tcPr>
            <w:tcMar>
              <w:top w:w="65" w:type="dxa"/>
              <w:left w:w="80" w:type="dxa"/>
              <w:bottom w:w="65" w:type="dxa"/>
              <w:right w:w="80" w:type="dxa"/>
            </w:tcMar>
          </w:tcPr>
          <w:p>
            <w:pPr>
              <w:spacing w:after="0"/>
            </w:pPr>
            <w:r>
              <w:rPr>
                <w:rFonts w:ascii="Arial" w:hAnsi="Arial" w:cs="Arial"/>
                <w:color w:val="000000"/>
                <w:sz w:val="16"/>
                <w:szCs w:val="16"/>
              </w:rPr>
              <w:t xml:space="preserve">Reese, "RE: Office Hours and Departmental Directives"</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2:53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10</w:t>
            </w:r>
          </w:p>
        </w:tc>
        <w:tc>
          <w:tcPr>
            <w:tcMar>
              <w:top w:w="65" w:type="dxa"/>
              <w:left w:w="80" w:type="dxa"/>
              <w:bottom w:w="65" w:type="dxa"/>
              <w:right w:w="80" w:type="dxa"/>
            </w:tcMar>
          </w:tcPr>
          <w:p>
            <w:pPr>
              <w:spacing w:after="0"/>
            </w:pPr>
            <w:r>
              <w:rPr>
                <w:rFonts w:ascii="Arial" w:hAnsi="Arial" w:cs="Arial"/>
                <w:color w:val="000000"/>
                <w:sz w:val="16"/>
                <w:szCs w:val="16"/>
              </w:rPr>
              <w:t xml:space="preserve">Taylor, "Sick leave 14.05.24", and its forwarding to Reese</w:t>
            </w:r>
          </w:p>
        </w:tc>
        <w:tc>
          <w:tcPr>
            <w:tcMar>
              <w:top w:w="65" w:type="dxa"/>
              <w:left w:w="80" w:type="dxa"/>
              <w:bottom w:w="65" w:type="dxa"/>
              <w:right w:w="80" w:type="dxa"/>
            </w:tcMar>
          </w:tcPr>
          <w:p>
            <w:pPr>
              <w:spacing w:after="0"/>
            </w:pPr>
            <w:r>
              <w:rPr>
                <w:rFonts w:ascii="Arial" w:hAnsi="Arial" w:cs="Arial"/>
                <w:color w:val="000000"/>
                <w:sz w:val="16"/>
                <w:szCs w:val="16"/>
              </w:rPr>
              <w:t xml:space="preserve">14-15 May 2024 (first email 14 May, 12:08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11</w:t>
            </w:r>
          </w:p>
        </w:tc>
        <w:tc>
          <w:tcPr>
            <w:tcMar>
              <w:top w:w="65" w:type="dxa"/>
              <w:left w:w="80" w:type="dxa"/>
              <w:bottom w:w="65" w:type="dxa"/>
              <w:right w:w="80" w:type="dxa"/>
            </w:tcMar>
          </w:tcPr>
          <w:p>
            <w:pPr>
              <w:spacing w:after="0"/>
            </w:pPr>
            <w:r>
              <w:rPr>
                <w:rFonts w:ascii="Arial" w:hAnsi="Arial" w:cs="Arial"/>
                <w:color w:val="000000"/>
                <w:sz w:val="16"/>
                <w:szCs w:val="16"/>
              </w:rPr>
              <w:t xml:space="preserve">Marriott (Integrated Respiratory Service) to Logan Switch; the Appellant to Taylor; Taylor's reply</w:t>
            </w:r>
          </w:p>
        </w:tc>
        <w:tc>
          <w:tcPr>
            <w:tcMar>
              <w:top w:w="65" w:type="dxa"/>
              <w:left w:w="80" w:type="dxa"/>
              <w:bottom w:w="65" w:type="dxa"/>
              <w:right w:w="80" w:type="dxa"/>
            </w:tcMar>
          </w:tcPr>
          <w:p>
            <w:pPr>
              <w:spacing w:after="0"/>
            </w:pPr>
            <w:r>
              <w:rPr>
                <w:rFonts w:ascii="Arial" w:hAnsi="Arial" w:cs="Arial"/>
                <w:color w:val="000000"/>
                <w:sz w:val="16"/>
                <w:szCs w:val="16"/>
              </w:rPr>
              <w:t xml:space="preserve">15 and 20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12</w:t>
            </w:r>
          </w:p>
        </w:tc>
        <w:tc>
          <w:tcPr>
            <w:tcMar>
              <w:top w:w="65" w:type="dxa"/>
              <w:left w:w="80" w:type="dxa"/>
              <w:bottom w:w="65" w:type="dxa"/>
              <w:right w:w="80" w:type="dxa"/>
            </w:tcMar>
          </w:tcPr>
          <w:p>
            <w:pPr>
              <w:spacing w:after="0"/>
            </w:pPr>
            <w:r>
              <w:rPr>
                <w:rFonts w:ascii="Arial" w:hAnsi="Arial" w:cs="Arial"/>
                <w:color w:val="000000"/>
                <w:sz w:val="16"/>
                <w:szCs w:val="16"/>
              </w:rPr>
              <w:t xml:space="preserve">"Corey Shepherd 388372 Pay issues" thread</w:t>
            </w:r>
          </w:p>
        </w:tc>
        <w:tc>
          <w:tcPr>
            <w:tcMar>
              <w:top w:w="65" w:type="dxa"/>
              <w:left w:w="80" w:type="dxa"/>
              <w:bottom w:w="65" w:type="dxa"/>
              <w:right w:w="80" w:type="dxa"/>
            </w:tcMar>
          </w:tcPr>
          <w:p>
            <w:pPr>
              <w:spacing w:after="0"/>
            </w:pPr>
            <w:r>
              <w:rPr>
                <w:rFonts w:ascii="Arial" w:hAnsi="Arial" w:cs="Arial"/>
                <w:color w:val="000000"/>
                <w:sz w:val="16"/>
                <w:szCs w:val="16"/>
              </w:rPr>
              <w:t xml:space="preserve">3-13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13</w:t>
            </w:r>
          </w:p>
        </w:tc>
        <w:tc>
          <w:tcPr>
            <w:tcMar>
              <w:top w:w="65" w:type="dxa"/>
              <w:left w:w="80" w:type="dxa"/>
              <w:bottom w:w="65" w:type="dxa"/>
              <w:right w:w="80" w:type="dxa"/>
            </w:tcMar>
          </w:tcPr>
          <w:p>
            <w:pPr>
              <w:spacing w:after="0"/>
            </w:pPr>
            <w:r>
              <w:rPr>
                <w:rFonts w:ascii="Arial" w:hAnsi="Arial" w:cs="Arial"/>
                <w:color w:val="000000"/>
                <w:sz w:val="16"/>
                <w:szCs w:val="16"/>
              </w:rPr>
              <w:t xml:space="preserve">Same thread, Taylor to the Appellant</w:t>
            </w:r>
          </w:p>
        </w:tc>
        <w:tc>
          <w:tcPr>
            <w:tcMar>
              <w:top w:w="65" w:type="dxa"/>
              <w:left w:w="80" w:type="dxa"/>
              <w:bottom w:w="65" w:type="dxa"/>
              <w:right w:w="80" w:type="dxa"/>
            </w:tcMar>
          </w:tcPr>
          <w:p>
            <w:pPr>
              <w:spacing w:after="0"/>
            </w:pPr>
            <w:r>
              <w:rPr>
                <w:rFonts w:ascii="Arial" w:hAnsi="Arial" w:cs="Arial"/>
                <w:color w:val="000000"/>
                <w:sz w:val="16"/>
                <w:szCs w:val="16"/>
              </w:rPr>
              <w:t xml:space="preserve">21 May 2024, 12:33 pm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14</w:t>
            </w:r>
          </w:p>
        </w:tc>
        <w:tc>
          <w:tcPr>
            <w:tcMar>
              <w:top w:w="65" w:type="dxa"/>
              <w:left w:w="80" w:type="dxa"/>
              <w:bottom w:w="65" w:type="dxa"/>
              <w:right w:w="80" w:type="dxa"/>
            </w:tcMar>
          </w:tcPr>
          <w:p>
            <w:pPr>
              <w:spacing w:after="0"/>
            </w:pPr>
            <w:r>
              <w:rPr>
                <w:rFonts w:ascii="Arial" w:hAnsi="Arial" w:cs="Arial"/>
                <w:color w:val="000000"/>
                <w:sz w:val="16"/>
                <w:szCs w:val="16"/>
              </w:rPr>
              <w:t xml:space="preserve">Taylor, "Validation of Claims older than 3 months - Please sign"</w:t>
            </w:r>
          </w:p>
        </w:tc>
        <w:tc>
          <w:tcPr>
            <w:tcMar>
              <w:top w:w="65" w:type="dxa"/>
              <w:left w:w="80" w:type="dxa"/>
              <w:bottom w:w="65" w:type="dxa"/>
              <w:right w:w="80" w:type="dxa"/>
            </w:tcMar>
          </w:tcPr>
          <w:p>
            <w:pPr>
              <w:spacing w:after="0"/>
            </w:pPr>
            <w:r>
              <w:rPr>
                <w:rFonts w:ascii="Arial" w:hAnsi="Arial" w:cs="Arial"/>
                <w:color w:val="000000"/>
                <w:sz w:val="16"/>
                <w:szCs w:val="16"/>
              </w:rPr>
              <w:t xml:space="preserve">28 May 2024, 8:36 am</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15</w:t>
            </w:r>
          </w:p>
        </w:tc>
        <w:tc>
          <w:tcPr>
            <w:tcMar>
              <w:top w:w="65" w:type="dxa"/>
              <w:left w:w="80" w:type="dxa"/>
              <w:bottom w:w="65" w:type="dxa"/>
              <w:right w:w="80" w:type="dxa"/>
            </w:tcMar>
          </w:tcPr>
          <w:p>
            <w:pPr>
              <w:spacing w:after="0"/>
            </w:pPr>
            <w:r>
              <w:rPr>
                <w:rFonts w:ascii="Arial" w:hAnsi="Arial" w:cs="Arial"/>
                <w:color w:val="000000"/>
                <w:sz w:val="16"/>
                <w:szCs w:val="16"/>
              </w:rPr>
              <w:t xml:space="preserve">myHR submissions report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1 Feb-31 May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16</w:t>
            </w:r>
          </w:p>
        </w:tc>
        <w:tc>
          <w:tcPr>
            <w:tcMar>
              <w:top w:w="65" w:type="dxa"/>
              <w:left w:w="80" w:type="dxa"/>
              <w:bottom w:w="65" w:type="dxa"/>
              <w:right w:w="80" w:type="dxa"/>
            </w:tcMar>
          </w:tcPr>
          <w:p>
            <w:pPr>
              <w:spacing w:after="0"/>
            </w:pPr>
            <w:r>
              <w:rPr>
                <w:rFonts w:ascii="Arial" w:hAnsi="Arial" w:cs="Arial"/>
                <w:color w:val="000000"/>
                <w:sz w:val="16"/>
                <w:szCs w:val="16"/>
              </w:rPr>
              <w:t xml:space="preserve">QH Leave Takings Report (MSH Item 15)</w:t>
            </w:r>
          </w:p>
        </w:tc>
        <w:tc>
          <w:tcPr>
            <w:tcMar>
              <w:top w:w="65" w:type="dxa"/>
              <w:left w:w="80" w:type="dxa"/>
              <w:bottom w:w="65" w:type="dxa"/>
              <w:right w:w="80" w:type="dxa"/>
            </w:tcMar>
          </w:tcPr>
          <w:p>
            <w:pPr>
              <w:spacing w:after="0"/>
            </w:pPr>
            <w:r>
              <w:rPr>
                <w:rFonts w:ascii="Arial" w:hAnsi="Arial" w:cs="Arial"/>
                <w:color w:val="000000"/>
                <w:sz w:val="16"/>
                <w:szCs w:val="16"/>
              </w:rPr>
              <w:t xml:space="preserve">19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25</w:t>
            </w:r>
          </w:p>
        </w:tc>
        <w:tc>
          <w:tcPr>
            <w:tcMar>
              <w:top w:w="65" w:type="dxa"/>
              <w:left w:w="80" w:type="dxa"/>
              <w:bottom w:w="65" w:type="dxa"/>
              <w:right w:w="80" w:type="dxa"/>
            </w:tcMar>
          </w:tcPr>
          <w:p>
            <w:pPr>
              <w:spacing w:after="0"/>
            </w:pPr>
            <w:r>
              <w:rPr>
                <w:rFonts w:ascii="Arial" w:hAnsi="Arial" w:cs="Arial"/>
                <w:color w:val="000000"/>
                <w:sz w:val="16"/>
                <w:szCs w:val="16"/>
              </w:rPr>
              <w:t xml:space="preserve">Review Decision 69983</w:t>
            </w:r>
          </w:p>
        </w:tc>
        <w:tc>
          <w:tcPr>
            <w:tcMar>
              <w:top w:w="65" w:type="dxa"/>
              <w:left w:w="80" w:type="dxa"/>
              <w:bottom w:w="65" w:type="dxa"/>
              <w:right w:w="80" w:type="dxa"/>
            </w:tcMar>
          </w:tcPr>
          <w:p>
            <w:pPr>
              <w:spacing w:after="0"/>
            </w:pPr>
            <w:r>
              <w:rPr>
                <w:rFonts w:ascii="Arial" w:hAnsi="Arial" w:cs="Arial"/>
                <w:color w:val="000000"/>
                <w:sz w:val="16"/>
                <w:szCs w:val="16"/>
              </w:rPr>
              <w:t xml:space="preserve">24 Oct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26</w:t>
            </w:r>
          </w:p>
        </w:tc>
        <w:tc>
          <w:tcPr>
            <w:tcMar>
              <w:top w:w="65" w:type="dxa"/>
              <w:left w:w="80" w:type="dxa"/>
              <w:bottom w:w="65" w:type="dxa"/>
              <w:right w:w="80" w:type="dxa"/>
            </w:tcMar>
          </w:tcPr>
          <w:p>
            <w:pPr>
              <w:spacing w:after="0"/>
            </w:pPr>
            <w:r>
              <w:rPr>
                <w:rFonts w:ascii="Arial" w:hAnsi="Arial" w:cs="Arial"/>
                <w:color w:val="000000"/>
                <w:sz w:val="16"/>
                <w:szCs w:val="16"/>
              </w:rPr>
              <w:t xml:space="preserve">Appellant's first notice to admit facts</w:t>
            </w:r>
          </w:p>
        </w:tc>
        <w:tc>
          <w:tcPr>
            <w:tcMar>
              <w:top w:w="65" w:type="dxa"/>
              <w:left w:w="80" w:type="dxa"/>
              <w:bottom w:w="65" w:type="dxa"/>
              <w:right w:w="80" w:type="dxa"/>
            </w:tcMar>
          </w:tcPr>
          <w:p>
            <w:pPr>
              <w:spacing w:after="0"/>
            </w:pPr>
            <w:r>
              <w:rPr>
                <w:rFonts w:ascii="Arial" w:hAnsi="Arial" w:cs="Arial"/>
                <w:color w:val="000000"/>
                <w:sz w:val="16"/>
                <w:szCs w:val="16"/>
              </w:rPr>
              <w:t xml:space="preserve">before 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27</w:t>
            </w:r>
          </w:p>
        </w:tc>
        <w:tc>
          <w:tcPr>
            <w:tcMar>
              <w:top w:w="65" w:type="dxa"/>
              <w:left w:w="80" w:type="dxa"/>
              <w:bottom w:w="65" w:type="dxa"/>
              <w:right w:w="80" w:type="dxa"/>
            </w:tcMar>
          </w:tcPr>
          <w:p>
            <w:pPr>
              <w:spacing w:after="0"/>
            </w:pPr>
            <w:r>
              <w:rPr>
                <w:rFonts w:ascii="Arial" w:hAnsi="Arial" w:cs="Arial"/>
                <w:color w:val="000000"/>
                <w:sz w:val="16"/>
                <w:szCs w:val="16"/>
              </w:rPr>
              <w:t xml:space="preserve">Respondent's response to that notice</w:t>
            </w:r>
          </w:p>
        </w:tc>
        <w:tc>
          <w:tcPr>
            <w:tcMar>
              <w:top w:w="65" w:type="dxa"/>
              <w:left w:w="80" w:type="dxa"/>
              <w:bottom w:w="65" w:type="dxa"/>
              <w:right w:w="80" w:type="dxa"/>
            </w:tcMar>
          </w:tcPr>
          <w:p>
            <w:pPr>
              <w:spacing w:after="0"/>
            </w:pPr>
            <w:r>
              <w:rPr>
                <w:rFonts w:ascii="Arial" w:hAnsi="Arial" w:cs="Arial"/>
                <w:color w:val="000000"/>
                <w:sz w:val="16"/>
                <w:szCs w:val="16"/>
              </w:rPr>
              <w:t xml:space="preserve">18 Feb 2026</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28</w:t>
            </w:r>
          </w:p>
        </w:tc>
        <w:tc>
          <w:tcPr>
            <w:tcMar>
              <w:top w:w="65" w:type="dxa"/>
              <w:left w:w="80" w:type="dxa"/>
              <w:bottom w:w="65" w:type="dxa"/>
              <w:right w:w="80" w:type="dxa"/>
            </w:tcMar>
          </w:tcPr>
          <w:p>
            <w:pPr>
              <w:spacing w:after="0"/>
            </w:pPr>
            <w:r>
              <w:rPr>
                <w:rFonts w:ascii="Arial" w:hAnsi="Arial" w:cs="Arial"/>
                <w:color w:val="000000"/>
                <w:sz w:val="16"/>
                <w:szCs w:val="16"/>
              </w:rPr>
              <w:t xml:space="preserve">myHR leave request history, Process Reference 15480560 (MSH Item 11)</w:t>
            </w:r>
          </w:p>
        </w:tc>
        <w:tc>
          <w:tcPr>
            <w:tcMar>
              <w:top w:w="65" w:type="dxa"/>
              <w:left w:w="80" w:type="dxa"/>
              <w:bottom w:w="65" w:type="dxa"/>
              <w:right w:w="80" w:type="dxa"/>
            </w:tcMar>
          </w:tcPr>
          <w:p>
            <w:pPr>
              <w:spacing w:after="0"/>
            </w:pPr>
            <w:r>
              <w:rPr>
                <w:rFonts w:ascii="Arial" w:hAnsi="Arial" w:cs="Arial"/>
                <w:color w:val="000000"/>
                <w:sz w:val="16"/>
                <w:szCs w:val="16"/>
              </w:rPr>
              <w:t xml:space="preserve">20 Feb-1 Mar 2024</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29</w:t>
            </w:r>
          </w:p>
        </w:tc>
        <w:tc>
          <w:tcPr>
            <w:tcMar>
              <w:top w:w="65" w:type="dxa"/>
              <w:left w:w="80" w:type="dxa"/>
              <w:bottom w:w="65" w:type="dxa"/>
              <w:right w:w="80" w:type="dxa"/>
            </w:tcMar>
          </w:tcPr>
          <w:p>
            <w:pPr>
              <w:spacing w:after="0"/>
            </w:pPr>
            <w:r>
              <w:rPr>
                <w:rFonts w:ascii="Arial" w:hAnsi="Arial" w:cs="Arial"/>
                <w:color w:val="000000"/>
                <w:sz w:val="16"/>
                <w:szCs w:val="16"/>
              </w:rPr>
              <w:t xml:space="preserve">Instrument of Human Resource Sub-Delegation, Paid Special Pandemic Leave (MSH Item 13)</w:t>
            </w:r>
          </w:p>
        </w:tc>
        <w:tc>
          <w:tcPr>
            <w:tcMar>
              <w:top w:w="65" w:type="dxa"/>
              <w:left w:w="80" w:type="dxa"/>
              <w:bottom w:w="65" w:type="dxa"/>
              <w:right w:w="80" w:type="dxa"/>
            </w:tcMar>
          </w:tcPr>
          <w:p>
            <w:pPr>
              <w:spacing w:after="0"/>
            </w:pPr>
            <w:r>
              <w:rPr>
                <w:rFonts w:ascii="Arial" w:hAnsi="Arial" w:cs="Arial"/>
                <w:color w:val="000000"/>
                <w:sz w:val="16"/>
                <w:szCs w:val="16"/>
              </w:rPr>
              <w:t xml:space="preserve">eff. 5 Dec 2022</w:t>
            </w:r>
          </w:p>
        </w:tc>
        <w:tc>
          <w:tcPr>
            <w:tcMar>
              <w:top w:w="65" w:type="dxa"/>
              <w:left w:w="80" w:type="dxa"/>
              <w:bottom w:w="65" w:type="dxa"/>
              <w:right w:w="80" w:type="dxa"/>
            </w:tcMar>
          </w:tcPr>
          <w:p>
            <w:pPr>
              <w:spacing w:after="0"/>
            </w:pPr>
            <w:r>
              <w:rPr>
                <w:rFonts w:ascii="Arial" w:hAnsi="Arial" w:cs="Arial"/>
                <w:color w:val="000000"/>
                <w:sz w:val="16"/>
                <w:szCs w:val="16"/>
              </w:rPr>
              <w:t xml:space="preserve">Admitted</w:t>
            </w:r>
          </w:p>
        </w:tc>
        <w:tc>
          <w:tcPr>
            <w:tcMar>
              <w:top w:w="65" w:type="dxa"/>
              <w:left w:w="80" w:type="dxa"/>
              <w:bottom w:w="65" w:type="dxa"/>
              <w:right w:w="80" w:type="dxa"/>
            </w:tcMar>
          </w:tcPr>
          <w:p>
            <w:pPr>
              <w:spacing w:after="0"/>
            </w:pPr>
            <w:r>
              <w:rPr>
                <w:rFonts w:ascii="Arial" w:hAnsi="Arial" w:cs="Arial"/>
                <w:color w:val="000000"/>
                <w:sz w:val="16"/>
                <w:szCs w:val="16"/>
              </w:rPr>
              <w:t xml:space="preserve">-</w:t>
            </w:r>
          </w:p>
        </w:tc>
        <w:tc>
          <w:tcPr>
            <w:tcMar>
              <w:top w:w="65" w:type="dxa"/>
              <w:left w:w="80" w:type="dxa"/>
              <w:bottom w:w="65" w:type="dxa"/>
              <w:right w:w="80" w:type="dxa"/>
            </w:tcMar>
          </w:tcPr>
          <w:p>
            <w:pPr>
              <w:spacing w:after="0"/>
            </w:pPr>
            <w:r>
              <w:rPr>
                <w:rFonts w:ascii="Arial" w:hAnsi="Arial" w:cs="Arial"/>
                <w:color w:val="000000"/>
                <w:sz w:val="16"/>
                <w:szCs w:val="16"/>
              </w:rPr>
              <w:t xml:space="preserve">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"Afterhours Oncall Process - Switchboard" (Stressor 1(f))</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15 Apr 2024, 12:39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Metro South to Commissioner Dwyer, K-LM26/729, signed by the Chief Executive (supporting records under Stressors 1 and 3)</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5 Jun 2026</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"What's Chloe's Hours?!" (Stressor 1(d))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23 Aug 2023, 2:18 pm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30A</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Taylor, "Good morning Team." (Stressor 1, supporting records)</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18 Jun 2024, 8:58 am</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Confirmed by the Respondent</w:t>
            </w:r>
          </w:p>
        </w:tc>
        <w:tc>
          <w:tcPr>
            <w:shd w:val="clear" w:color="auto" w:fill="F3F7F3"/>
            <w:tcMar>
              <w:top w:w="65" w:type="dxa"/>
              <w:left w:w="80" w:type="dxa"/>
              <w:bottom w:w="65" w:type="dxa"/>
              <w:right w:w="80" w:type="dxa"/>
            </w:tcMar>
          </w:tcPr>
          <w:p>
            <w:pPr>
              <w:spacing w:after="0"/>
            </w:pPr>
            <w:r>
              <w:rPr>
                <w:rFonts w:ascii="Arial" w:hAnsi="Arial" w:cs="Arial"/>
                <w:color w:val="000000"/>
                <w:sz w:val="16"/>
                <w:szCs w:val="16"/>
              </w:rPr>
              <w:t xml:space="preserve">Now admitted; tender</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Role description, Administration Officer, Switchboard Services (AO3), Logan Hospital</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undated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(facts 1-13)</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Taylor, "Approved - Permanent Full Time FTE"</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Sep 2023, 1:52 pm</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(37-38)</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as delegate,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27 Feb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18</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17 Apr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19</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Movement form, approved by Mr Hughes, recording "Continuous Shift Worker"</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9 Jun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(14-15)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Forrest, Senior Consultant Human Resources, to the Appellant, stating that the 8-hour agreement "is only applied where staff initiated shift swaps have occurred"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7 Jul 2026</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(224-225)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22</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Paper, Proposed Rosters for Switchboard Services, signed by Mr Hughes 12 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Nov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(169-175)</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23</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Consultation outcome, Proposed Rosters, signed by Mr Hughes 12 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Dec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(167-168, 176-177)</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31</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Screen capture, "2024 Emergency Code Register.xlsx", March 2024 sheet, entries 16-20 Mar 2024 (Stressors 3(b) and 3(c))</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Mar 2024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Referred by the Respondent to Metro South for copies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facts 228-231 not admitted</w:t>
            </w:r>
          </w:p>
        </w:tc>
      </w:tr>
      <w:tr>
        <w:trPr>
          <w:cantSplit/>
        </w:trPr>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24</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Moran, Organiser, Together Queensland, to Jeffrey, Conaghan and the Appellant, "Switchboard Roster Feedback - For Delegates"</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3 Nov 2025</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Disputed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Not mentioned</w:t>
            </w:r>
          </w:p>
        </w:tc>
        <w:tc>
          <w:tcPr>
            <w:shd w:val="clear" w:color="auto" w:fill="FBF5EE"/>
            <w:tcMar>
              <w:top w:w="65" w:type="dxa"/>
              <w:left w:w="80" w:type="dxa"/>
              <w:bottom w:w="65" w:type="dxa"/>
              <w:right w:w="80" w:type="dxa"/>
            </w:tcMar>
          </w:tcPr>
          <w:p>
            <w:pPr>
              <w:spacing w:after="0"/>
            </w:pPr>
            <w:r>
              <w:rPr>
                <w:rFonts w:ascii="Arial" w:hAnsi="Arial" w:cs="Arial"/>
                <w:color w:val="000000"/>
                <w:sz w:val="16"/>
                <w:szCs w:val="16"/>
              </w:rPr>
              <w:t xml:space="preserve">Outstanding; contents admitted (178-179)</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sz w:val="19"/>
          <w:szCs w:val="19"/>
        </w:rPr>
        <w:t>The Appellant asked the Respondent on 9 September 2026 to confirm the ten outstanding documents; the Respondent's email of 23 September 2026 gives no date by which the copies are expected. The copies of Tabs 1, 5, 17 to 19, 21 to 24 and 31 came from the Appellant's own records; Tabs 17 to 19, 22 and 23 bear the signature of the employer's Director, Corporate Services. Tab 24 is a Together Queensland document, which the email of 23 September 2026 does not address.</w:t>
      </w:r>
    </w:p>
    <w:p>
      <w:pPr>
        <w:keepNext/>
        <w:spacing w:before="0" w:after="120" w:line="264" w:lineRule="auto"/>
      </w:pPr>
      <w:r>
        <w:rPr>
          <w:rFonts w:ascii="Arial" w:hAnsi="Arial" w:cs="Arial"/>
          <w:b/>
          <w:sz w:val="19"/>
          <w:szCs w:val="19"/>
        </w:rPr>
        <w:t>Schedule, Part 2: other documents relied on in the Second Amended Form 9A that are not at Annexure A</w:t>
      </w:r>
    </w:p>
    <w:tbl>
      <w:tblPr>
        <w:tblW w:w="963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30"/>
        <w:gridCol w:w="2120"/>
        <w:gridCol w:w="3080"/>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Document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Relied on at</w:t>
            </w:r>
          </w:p>
        </w:tc>
        <w:tc>
          <w:tcPr>
            <w:shd w:val="clear" w:color="auto" w:fill="E8E8E8"/>
            <w:tcMar>
              <w:top w:w="65" w:type="dxa"/>
              <w:left w:w="80" w:type="dxa"/>
              <w:bottom w:w="65" w:type="dxa"/>
              <w:right w:w="80" w:type="dxa"/>
            </w:tcMar>
          </w:tcPr>
          <w:p>
            <w:pPr>
              <w:spacing w:after="0"/>
            </w:pPr>
            <w:r>
              <w:rPr>
                <w:rFonts w:ascii="Arial" w:hAnsi="Arial" w:cs="Arial"/>
                <w:b/>
                <w:color w:val="000000"/>
                <w:sz w:val="16"/>
                <w:szCs w:val="16"/>
              </w:rPr>
              <w:t xml:space="preserve">Status or source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outlines of the evidence of Ms Taylor, Ms Reese, Ms Wright and Ms Earl</w:t>
            </w:r>
          </w:p>
        </w:tc>
        <w:tc>
          <w:tcPr>
            <w:tcMar>
              <w:top w:w="65" w:type="dxa"/>
              <w:left w:w="80" w:type="dxa"/>
              <w:bottom w:w="65" w:type="dxa"/>
              <w:right w:w="80" w:type="dxa"/>
            </w:tcMar>
          </w:tcPr>
          <w:p>
            <w:r>
              <w:rPr>
                <w:rFonts w:ascii="Arial" w:hAnsi="Arial"/>
                <w:color w:val="000000"/>
                <w:sz w:val="18"/>
              </w:rPr>
              <w:t>1(l), 2(n) to 2(o), 3(c); Stressor 3 agreement and pleaded-answer paragraphs; Part C, paragraph 5A</w:t>
            </w:r>
          </w:p>
        </w:tc>
        <w:tc>
          <w:tcPr>
            <w:tcMar>
              <w:top w:w="65" w:type="dxa"/>
              <w:left w:w="80" w:type="dxa"/>
              <w:bottom w:w="65" w:type="dxa"/>
              <w:right w:w="80" w:type="dxa"/>
            </w:tcMar>
          </w:tcPr>
          <w:p>
            <w:pPr>
              <w:spacing w:after="0"/>
            </w:pPr>
            <w:r>
              <w:rPr>
                <w:rFonts w:ascii="Arial" w:hAnsi="Arial" w:cs="Arial"/>
                <w:color w:val="000000"/>
                <w:sz w:val="16"/>
                <w:szCs w:val="16"/>
              </w:rPr>
              <w:t xml:space="preserve">Served by the Respondent on 24 September 2026; available to the Commission on request. An outline is not evidence.</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spreadsheet of recorded MET calls for 17 and 18 March 2024</w:t>
            </w:r>
          </w:p>
        </w:tc>
        <w:tc>
          <w:tcPr>
            <w:tcMar>
              <w:top w:w="65" w:type="dxa"/>
              <w:left w:w="80" w:type="dxa"/>
              <w:bottom w:w="65" w:type="dxa"/>
              <w:right w:w="80" w:type="dxa"/>
            </w:tcMar>
          </w:tcPr>
          <w:p>
            <w:r>
              <w:rPr>
                <w:rFonts w:ascii="Arial" w:hAnsi="Arial"/>
                <w:color w:val="000000"/>
                <w:sz w:val="18"/>
              </w:rPr>
              <w:t>Stressor 3(b)</w:t>
            </w:r>
          </w:p>
        </w:tc>
        <w:tc>
          <w:tcPr>
            <w:tcMar>
              <w:top w:w="65" w:type="dxa"/>
              <w:left w:w="80" w:type="dxa"/>
              <w:bottom w:w="65" w:type="dxa"/>
              <w:right w:w="80" w:type="dxa"/>
            </w:tcMar>
          </w:tcPr>
          <w:p>
            <w:pPr>
              <w:spacing w:after="0"/>
            </w:pPr>
            <w:r>
              <w:rPr>
                <w:rFonts w:ascii="Arial" w:hAnsi="Arial" w:cs="Arial"/>
                <w:color w:val="000000"/>
                <w:sz w:val="16"/>
                <w:szCs w:val="16"/>
              </w:rPr>
              <w:t xml:space="preserve">Metro South Health states that it is available [¶ 268].</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Logan Hospital emergency code procedures referred to in the role description</w:t>
            </w:r>
          </w:p>
        </w:tc>
        <w:tc>
          <w:tcPr>
            <w:tcMar>
              <w:top w:w="65" w:type="dxa"/>
              <w:left w:w="80" w:type="dxa"/>
              <w:bottom w:w="65" w:type="dxa"/>
              <w:right w:w="80" w:type="dxa"/>
            </w:tcMar>
          </w:tcPr>
          <w:p>
            <w:r>
              <w:rPr>
                <w:rFonts w:ascii="Arial" w:hAnsi="Arial"/>
                <w:color w:val="000000"/>
                <w:sz w:val="18"/>
              </w:rPr>
              <w:t>Stressor 3, the emergency-code context</w:t>
            </w:r>
          </w:p>
        </w:tc>
        <w:tc>
          <w:tcPr>
            <w:tcMar>
              <w:top w:w="65" w:type="dxa"/>
              <w:left w:w="80" w:type="dxa"/>
              <w:bottom w:w="65" w:type="dxa"/>
              <w:right w:w="80" w:type="dxa"/>
            </w:tcMar>
          </w:tcPr>
          <w:p>
            <w:pPr>
              <w:spacing w:after="0"/>
            </w:pPr>
            <w:r>
              <w:rPr>
                <w:rFonts w:ascii="Arial" w:hAnsi="Arial" w:cs="Arial"/>
                <w:color w:val="000000"/>
                <w:sz w:val="16"/>
                <w:szCs w:val="16"/>
              </w:rPr>
              <w:t xml:space="preserve">Referred to in the role description [¶ 8] (Tab 1).</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documents recording the advice of Human Resources on the 8-hour agreement</w:t>
            </w:r>
          </w:p>
        </w:tc>
        <w:tc>
          <w:tcPr>
            <w:tcMar>
              <w:top w:w="65" w:type="dxa"/>
              <w:left w:w="80" w:type="dxa"/>
              <w:bottom w:w="65" w:type="dxa"/>
              <w:right w:w="80" w:type="dxa"/>
            </w:tcMar>
          </w:tcPr>
          <w:p>
            <w:r>
              <w:rPr>
                <w:rFonts w:ascii="Arial" w:hAnsi="Arial"/>
                <w:color w:val="000000"/>
                <w:sz w:val="18"/>
              </w:rPr>
              <w:t>Referred to in the outlines (first row)</w:t>
            </w:r>
          </w:p>
        </w:tc>
        <w:tc>
          <w:tcPr>
            <w:tcMar>
              <w:top w:w="65" w:type="dxa"/>
              <w:left w:w="80" w:type="dxa"/>
              <w:bottom w:w="65" w:type="dxa"/>
              <w:right w:w="80" w:type="dxa"/>
            </w:tcMar>
          </w:tcPr>
          <w:p>
            <w:pPr>
              <w:spacing w:after="0"/>
            </w:pPr>
            <w:r>
              <w:rPr>
                <w:rFonts w:ascii="Arial" w:hAnsi="Arial" w:cs="Arial"/>
                <w:color w:val="000000"/>
                <w:sz w:val="16"/>
                <w:szCs w:val="16"/>
              </w:rPr>
              <w:t xml:space="preserve">The outlines of Ms Taylor and Ms Reese refer to them; neither identifies them.</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Communication Book</w:t>
            </w:r>
          </w:p>
        </w:tc>
        <w:tc>
          <w:tcPr>
            <w:tcMar>
              <w:top w:w="65" w:type="dxa"/>
              <w:left w:w="80" w:type="dxa"/>
              <w:bottom w:w="65" w:type="dxa"/>
              <w:right w:w="80" w:type="dxa"/>
            </w:tcMar>
          </w:tcPr>
          <w:p>
            <w:r>
              <w:rPr>
                <w:rFonts w:ascii="Arial" w:hAnsi="Arial"/>
                <w:color w:val="000000"/>
                <w:sz w:val="18"/>
              </w:rPr>
              <w:t>Stressor 1(a); Part B.5.4</w:t>
            </w:r>
          </w:p>
        </w:tc>
        <w:tc>
          <w:tcPr>
            <w:tcMar>
              <w:top w:w="65" w:type="dxa"/>
              <w:left w:w="80" w:type="dxa"/>
              <w:bottom w:w="65" w:type="dxa"/>
              <w:right w:w="80" w:type="dxa"/>
            </w:tcMar>
          </w:tcPr>
          <w:p>
            <w:pPr>
              <w:spacing w:after="0"/>
            </w:pPr>
            <w:r>
              <w:rPr>
                <w:rFonts w:ascii="Arial" w:hAnsi="Arial" w:cs="Arial"/>
                <w:color w:val="000000"/>
                <w:sz w:val="16"/>
                <w:szCs w:val="16"/>
              </w:rPr>
              <w:t xml:space="preserve">Not listed in the Respondent's amended List of Documents of 14 August 2026; paragraph 154 of the notice was not admitted.</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w:t>
            </w:r>
          </w:p>
        </w:tc>
        <w:tc>
          <w:tcPr>
            <w:tcMar>
              <w:top w:w="65" w:type="dxa"/>
              <w:left w:w="80" w:type="dxa"/>
              <w:bottom w:w="65" w:type="dxa"/>
              <w:right w:w="80" w:type="dxa"/>
            </w:tcMar>
          </w:tcPr>
          <w:p>
            <w:r>
              <w:rPr>
                <w:rFonts w:ascii="Arial" w:hAnsi="Arial"/>
                <w:color w:val="000000"/>
                <w:sz w:val="18"/>
              </w:rPr>
              <w:t>2(n) to 2(o); Part B.4</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in July 2025.</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Respondent's disclosure of 11 June 2026 (10 pages): the leave-form walkthrough for Process Reference 15480560, the emails of 15 May 2024 at 1:15 pm and 6:23 pm, and documents concerning the complaint of 13 May 2024</w:t>
            </w:r>
          </w:p>
        </w:tc>
        <w:tc>
          <w:tcPr>
            <w:tcMar>
              <w:top w:w="65" w:type="dxa"/>
              <w:left w:w="80" w:type="dxa"/>
              <w:bottom w:w="65" w:type="dxa"/>
              <w:right w:w="80" w:type="dxa"/>
            </w:tcMar>
          </w:tcPr>
          <w:p>
            <w:r>
              <w:rPr>
                <w:rFonts w:ascii="Arial" w:hAnsi="Arial"/>
                <w:color w:val="000000"/>
                <w:sz w:val="18"/>
              </w:rPr>
              <w:t>Stressors 1(e) and 1(l); for 1(i), the date of the complaint only</w:t>
            </w:r>
          </w:p>
        </w:tc>
        <w:tc>
          <w:tcPr>
            <w:tcMar>
              <w:top w:w="65" w:type="dxa"/>
              <w:left w:w="80" w:type="dxa"/>
              <w:bottom w:w="65" w:type="dxa"/>
              <w:right w:w="80" w:type="dxa"/>
            </w:tcMar>
          </w:tcPr>
          <w:p>
            <w:pPr>
              <w:spacing w:after="0"/>
            </w:pPr>
            <w:r>
              <w:rPr>
                <w:rFonts w:ascii="Arial" w:hAnsi="Arial" w:cs="Arial"/>
                <w:color w:val="000000"/>
                <w:sz w:val="16"/>
                <w:szCs w:val="16"/>
              </w:rPr>
              <w:t xml:space="preserve">Disclosed by the Respondent on 11 June 2026.</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Queensland Health's Code Blue procedure 001443 (Royal Brisbane and Women's Hospital, version 5, April 2020)</w:t>
            </w:r>
          </w:p>
        </w:tc>
        <w:tc>
          <w:tcPr>
            <w:tcMar>
              <w:top w:w="65" w:type="dxa"/>
              <w:left w:w="80" w:type="dxa"/>
              <w:bottom w:w="65" w:type="dxa"/>
              <w:right w:w="80" w:type="dxa"/>
            </w:tcMar>
          </w:tcPr>
          <w:p>
            <w:r>
              <w:rPr>
                <w:rFonts w:ascii="Arial" w:hAnsi="Arial"/>
                <w:color w:val="000000"/>
                <w:sz w:val="18"/>
              </w:rPr>
              <w:t>Stressor 3, the emergency-code context: the types of Code Blue and the role of Switchboard Services</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Queensland Ombudsman's Neville Report (June 2006) and its 2011 update, and the Coroner's findings of 12 September 2008</w:t>
            </w:r>
          </w:p>
        </w:tc>
        <w:tc>
          <w:tcPr>
            <w:tcMar>
              <w:top w:w="65" w:type="dxa"/>
              <w:left w:w="80" w:type="dxa"/>
              <w:bottom w:w="65" w:type="dxa"/>
              <w:right w:w="80" w:type="dxa"/>
            </w:tcMar>
          </w:tcPr>
          <w:p>
            <w:r>
              <w:rPr>
                <w:rFonts w:ascii="Arial" w:hAnsi="Arial"/>
                <w:color w:val="000000"/>
                <w:sz w:val="18"/>
              </w:rPr>
              <w:t>Stressor 3, the framework history: the origin of the fatigue framework</w:t>
            </w:r>
          </w:p>
        </w:tc>
        <w:tc>
          <w:tcPr>
            <w:tcMar>
              <w:top w:w="65" w:type="dxa"/>
              <w:left w:w="80" w:type="dxa"/>
              <w:bottom w:w="65" w:type="dxa"/>
              <w:right w:w="80" w:type="dxa"/>
            </w:tcMar>
          </w:tcPr>
          <w:p>
            <w:pPr>
              <w:spacing w:after="0"/>
            </w:pPr>
            <w:r>
              <w:rPr>
                <w:rFonts w:ascii="Arial" w:hAnsi="Arial" w:cs="Arial"/>
                <w:color w:val="000000"/>
                <w:sz w:val="16"/>
                <w:szCs w:val="16"/>
              </w:rPr>
              <w:t xml:space="preserve">Public documents.</w:t>
            </w:r>
          </w:p>
        </w:tc>
      </w:tr>
      <w:tr>
        <w:trPr>
          <w:cantSplit/>
        </w:trPr>
        <w:tc>
          <w:tcPr>
            <w:tcMar>
              <w:top w:w="65" w:type="dxa"/>
              <w:left w:w="80" w:type="dxa"/>
              <w:bottom w:w="65" w:type="dxa"/>
              <w:right w:w="80" w:type="dxa"/>
            </w:tcMar>
          </w:tcPr>
          <w:p>
            <w:pPr>
              <w:spacing w:after="0"/>
            </w:pPr>
            <w:r>
              <w:rPr>
                <w:rFonts w:ascii="Arial" w:hAnsi="Arial" w:cs="Arial"/>
                <w:color w:val="000000"/>
                <w:sz w:val="16"/>
                <w:szCs w:val="16"/>
              </w:rPr>
              <w:t xml:space="preserve">The monthly call statistics for April 2025</w:t>
            </w:r>
          </w:p>
        </w:tc>
        <w:tc>
          <w:tcPr>
            <w:tcMar>
              <w:top w:w="65" w:type="dxa"/>
              <w:left w:w="80" w:type="dxa"/>
              <w:bottom w:w="65" w:type="dxa"/>
              <w:right w:w="80" w:type="dxa"/>
            </w:tcMar>
          </w:tcPr>
          <w:p>
            <w:r>
              <w:rPr>
                <w:rFonts w:ascii="Arial" w:hAnsi="Arial"/>
                <w:color w:val="000000"/>
                <w:sz w:val="18"/>
              </w:rPr>
              <w:t>Stressor 3(b), the ordinary-call-load paragraph</w:t>
            </w:r>
          </w:p>
        </w:tc>
        <w:tc>
          <w:tcPr>
            <w:tcMar>
              <w:top w:w="65" w:type="dxa"/>
              <w:left w:w="80" w:type="dxa"/>
              <w:bottom w:w="65" w:type="dxa"/>
              <w:right w:w="80" w:type="dxa"/>
            </w:tcMar>
          </w:tcPr>
          <w:p>
            <w:pPr>
              <w:spacing w:after="0"/>
            </w:pPr>
            <w:r>
              <w:rPr>
                <w:rFonts w:ascii="Arial" w:hAnsi="Arial" w:cs="Arial"/>
                <w:color w:val="000000"/>
                <w:sz w:val="16"/>
                <w:szCs w:val="16"/>
              </w:rPr>
              <w:t xml:space="preserve">The Appellant's own record and evidence (Part B preamble).</w:t>
            </w:r>
          </w:p>
        </w:tc>
      </w:tr>
    </w:tbl>
    <w:p>
      <w:pPr>
        <w:spacing w:before="0" w:after="80" w:line="264" w:lineRule="auto"/>
      </w:pPr>
      <w:r>
        <w:rPr>
          <w:rFonts w:ascii="Arial" w:hAnsi="Arial" w:cs="Arial"/>
          <w:sz w:val="19"/>
          <w:szCs w:val="19"/>
        </w:rPr>
      </w:r>
    </w:p>
    <w:p>
      <w:pPr>
        <w:spacing w:before="0" w:after="80" w:line="264" w:lineRule="auto"/>
      </w:pPr>
      <w:r>
        <w:rPr>
          <w:rFonts w:ascii="Arial" w:hAnsi="Arial" w:cs="Arial"/>
          <w:b/>
          <w:sz w:val="19"/>
          <w:szCs w:val="19"/>
        </w:rPr>
        <w:t xml:space="preserve">Schedule, Part 3: index of the dated particulars in the Second Amended Form 9A (index only; not additional stressors). </w:t>
      </w:r>
      <w:r>
        <w:rPr>
          <w:rFonts w:ascii="Arial" w:hAnsi="Arial" w:cs="Arial"/>
          <w:sz w:val="19"/>
          <w:szCs w:val="19"/>
        </w:rPr>
        <w:t xml:space="preserve">The three stressors are pleaded, with their particulars, in the Second Amended Form 9A; this index adds no stressor or particular. The causal particulars are 1(b), 1(d), 1(f) to 1(h), 1(k) and 1(l); 2(a) to 2(i) and 2(l) to 2(n); and 3(b) to 3(h). The others, 1(a), 1(c), 1(e), 1(i), 1(j), 2(j), 2(k), 2(o) and 3(a), are context and are not relied on as separate causes.</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No.</w:t>
            </w:r>
          </w:p>
        </w:tc>
        <w:tc>
          <w:tcPr>
            <w:tcW w:type="dxa" w:w="1616"/>
            <w:shd w:val="clear" w:color="auto" w:fill="E8E8E8"/>
            <w:tcMar>
              <w:top w:w="65" w:type="dxa"/>
              <w:left w:w="80" w:type="dxa"/>
              <w:bottom w:w="65" w:type="dxa"/>
              <w:right w:w="80" w:type="dxa"/>
            </w:tcMar>
          </w:tcPr>
          <w:p>
            <w:r>
              <w:rPr>
                <w:rFonts w:ascii="Arial" w:hAnsi="Arial"/>
                <w:b/>
                <w:color w:val="000000"/>
                <w:sz w:val="18"/>
              </w:rPr>
              <w:t>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Particular</w:t>
            </w:r>
          </w:p>
        </w:tc>
        <w:tc>
          <w:tcPr>
            <w:tcW w:type="dxa" w:w="5017"/>
            <w:shd w:val="clear" w:color="auto" w:fill="E8E8E8"/>
            <w:tcMar>
              <w:top w:w="65" w:type="dxa"/>
              <w:left w:w="80" w:type="dxa"/>
              <w:bottom w:w="65" w:type="dxa"/>
              <w:right w:w="80" w:type="dxa"/>
            </w:tcMar>
          </w:tcPr>
          <w:p>
            <w:r>
              <w:rPr>
                <w:rFonts w:ascii="Arial" w:hAnsi="Arial"/>
                <w:b/>
                <w:color w:val="000000"/>
                <w:sz w:val="18"/>
              </w:rPr>
              <w:t>Brief description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on or around 6 June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Removal of the Communication Book entry</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Entry removed and management response recorded;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Operators lost access; amendments were channelled through specified staff.</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16 October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concerns and the move to full time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error, responses and application for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Variable hours were stated; no intervening statement of fixed hours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Pandemic leave submissions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declines and three submissions; context here and entitlement issue in 2(b).</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New process was stated to take effect that day.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review decision records a new checking process following data entry errors.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Two reports recorded nine occasions before a revised process was communicated.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The complaint of 13 May 2024</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Date of the complaint; chronology only, with no causal allegation.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13 to 15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On-call roster and absence notification instructions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 circulated on the first day of the fortnight it covered; notification of unavailability channelled through the manager from 14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Repeated requests, the Appellant’s escalation and management reply.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Request for clarity, retraction request, hours clarification and follow-up.</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5 February was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Three submissions and two declines before final approval.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fortnight beginning 19 February was also topped up from the RDO balance.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too many ordinary shifts and a need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later described the claim as submitted late.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further requirement for overtime coding.</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Enquiry, acknowledgment, follow-up and response; public holiday review remained open.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directed the manager to submit an AVAC for each affected fortnight.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followed up; Payroll referred him back to the line manager.</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2(j)</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15 to 16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A completed AVAC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Process 16328886 was submitted on 15 May and completed on 16 May;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about rostering</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with HR and attached the fatigue guideline; related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manager said she was still waiting for confirmation.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28 to 30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Validation request and partly completed AVAC</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Validation sought; process 16450619 was recorded as "Part Completed".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2(n)</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5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Three corrections reached a payslip</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adjustments for 28 February, 30 March and 1 April.</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2(o)</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30 June to 2 July 2025</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Later correction of the 9 February shift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Payroll identified a later amendment and pay date; evidence of the earlier correction history.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7 August to 4 September 2023</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Earlier roster error and proposed roster</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Rest was offered after an acknowledged error; the Appellant proposed increased hours; context only.</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Rostered interval, travel, rest and workload relied on in their operational context.</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record shows 7.60 hours of approved sick leave; the fatigue entitlement is disputed.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Acknowledged on 9 April; substantive response and refusal after 23 days.</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Error acknowledged after the meeting; no subsequent contact about alternatives is alleged.</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Appellant sought action on the toolkit; the Director said she was awaiting advice.</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10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Risk rating and roster decision recorded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recorded his fatigue concerns, a moderate rating and an undisclosed roster decision.</w:t>
            </w:r>
          </w:p>
        </w:tc>
      </w:tr>
      <w:tr>
        <w:trPr/>
        <w:tc>
          <w:tcPr>
            <w:tcW w:type="dxa" w:w="652"/>
            <w:tcMar>
              <w:top w:w="65" w:type="dxa"/>
              <w:left w:w="80" w:type="dxa"/>
              <w:bottom w:w="65" w:type="dxa"/>
              <w:right w:w="80" w:type="dxa"/>
            </w:tcMar>
          </w:tcPr>
          <w:p>
            <w:pPr>
              <w:spacing w:after="40" w:before="40" w:line="252" w:lineRule="auto"/>
            </w:pPr>
            <w:r>
              <w:rPr>
                <w:rFonts w:ascii="Arial" w:hAnsi="Arial"/>
                <w:b/>
                <w:color w:val="000000"/>
                <w:sz w:val="18"/>
              </w:rPr>
              <w:t>3(h)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HR follow-up with the fatigue guideline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The Director followed up her earlier query and attached the guideline.</w:t>
            </w:r>
          </w:p>
        </w:tc>
      </w:tr>
    </w:tbl>
    <w:p/>
    <w:sectPr>
      <w:pgSz w:w="11906" w:h="16838"/>
      <w:pgMar w:top="1000" w:right="1134" w:bottom="900" w:left="1134" w:header="567" w:footer="567" w:gut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styles" Target="styles.xml"/><Relationship Id="rIdSig1" Type="http://schemas.openxmlformats.org/officeDocument/2006/relationships/image" Target="media/signature.png"/></Relationships>
</file>