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jc w:val="center"/>
      </w:pPr>
      <w:r>
        <w:rPr>
          <w:rFonts w:ascii="Arial" w:hAnsi="Arial" w:cs="Arial"/>
          <w:b/>
          <w:sz w:val="28"/>
          <w:szCs w:val="28"/>
        </w:rPr>
        <w:t>SECOND AMENDED STATEMENT OF FACTS AND CONTENTIONS (FORM 9A)</w:t>
      </w:r>
    </w:p>
    <w:p>
      <w:pPr>
        <w:spacing w:before="0" w:after="200" w:line="264" w:lineRule="auto"/>
        <w:jc w:val="center"/>
      </w:pPr>
      <w:r>
        <w:rPr>
          <w:rFonts w:ascii="Arial" w:hAnsi="Arial" w:cs="Arial"/>
          <w:sz w:val="18"/>
          <w:szCs w:val="18"/>
        </w:rPr>
        <w:t>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spacing w:before="240" w:after="100" w:line="264" w:lineRule="auto"/>
      </w:pPr>
      <w:r>
        <w:rPr>
          <w:rFonts w:ascii="Arial" w:hAnsi="Arial" w:cs="Arial"/>
          <w:b/>
          <w:sz w:val="24"/>
          <w:szCs w:val="24"/>
        </w:rPr>
        <w:t>PART A</w:t>
      </w:r>
    </w:p>
    <w:p>
      <w:pPr>
        <w:spacing w:before="0" w:after="100" w:line="264" w:lineRule="auto"/>
      </w:pPr>
      <w:r>
        <w:rPr>
          <w:rFonts w:ascii="Arial" w:hAnsi="Arial" w:cs="Arial"/>
          <w:sz w:val="20"/>
          <w:szCs w:val="20"/>
        </w:rPr>
        <w:t>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w:t>
      </w:r>
    </w:p>
    <w:p>
      <w:pPr>
        <w:keepNext/>
        <w:spacing w:before="240" w:after="100" w:line="264" w:lineRule="auto"/>
      </w:pPr>
      <w:r>
        <w:rPr>
          <w:rFonts w:ascii="Arial" w:hAnsi="Arial" w:cs="Arial"/>
          <w:b/>
          <w:sz w:val="24"/>
          <w:szCs w:val="24"/>
        </w:rPr>
        <w:t>PART B - MATERIAL FACTS</w:t>
      </w:r>
    </w:p>
    <w:p>
      <w:pPr>
        <w:spacing w:before="0" w:after="100" w:line="264" w:lineRule="auto"/>
      </w:pPr>
      <w:r>
        <w:rPr>
          <w:rFonts w:ascii="Arial" w:hAnsi="Arial" w:cs="Arial"/>
          <w:sz w:val="20"/>
          <w:szCs w:val="20"/>
        </w:rPr>
        <w:t>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1 October 2026 (the Schedule)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spacing w:before="80" w:after="140" w:line="264" w:lineRule="auto"/>
      </w:pPr>
      <w:r>
        <w:rPr>
          <w:rFonts w:ascii="Arial" w:hAnsi="Arial" w:cs="Arial"/>
          <w:b/>
          <w:sz w:val="20"/>
          <w:szCs w:val="20"/>
        </w:rPr>
        <w:t xml:space="preserve">How this Part is arranged. </w:t>
      </w:r>
      <w:r>
        <w:rPr>
          <w:rFonts w:ascii="Arial" w:hAnsi="Arial" w:cs="Arial"/>
          <w:b w:val="0"/>
          <w:sz w:val="20"/>
          <w:szCs w:val="20"/>
        </w:rPr>
        <w:t>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 The numbered themes organise the case; the lettered particulars identify dated events or connected event sequences. Unlettered paragraphs state duties, standards, supporting records, medical links and the pleaded response. Context-only and post-injury material retains that limited purpose.</w:t>
      </w:r>
    </w:p>
    <w:p>
      <w:pPr>
        <w:keepNext/>
        <w:spacing w:before="180" w:after="80" w:line="264" w:lineRule="auto"/>
      </w:pPr>
      <w:r>
        <w:rPr>
          <w:rFonts w:ascii="Arial" w:hAnsi="Arial" w:cs="Arial"/>
          <w:b/>
          <w:sz w:val="22"/>
          <w:szCs w:val="22"/>
        </w:rPr>
        <w:t>1. The starting point - the role, and the medical record</w:t>
      </w:r>
    </w:p>
    <w:p>
      <w:pPr>
        <w:spacing w:before="0" w:after="100" w:line="264" w:lineRule="auto"/>
      </w:pPr>
      <w:r>
        <w:rPr>
          <w:rFonts w:ascii="Arial" w:hAnsi="Arial" w:cs="Arial"/>
          <w:sz w:val="20"/>
          <w:szCs w:val="20"/>
        </w:rPr>
        <w:t>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b w:val="0"/>
          <w:sz w:val="20"/>
          <w:szCs w:val="20"/>
        </w:rPr>
        <w:t>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1(l). [¶¶ 76 to 77]</w:t>
      </w:r>
    </w:p>
    <w:p>
      <w:pPr>
        <w:spacing w:before="0" w:after="100" w:line="264" w:lineRule="auto"/>
        <w:ind w:left="284"/>
      </w:pPr>
      <w:r>
        <w:rPr>
          <w:rFonts w:ascii="Arial" w:hAnsi="Arial" w:cs="Arial"/>
          <w:i/>
          <w:sz w:val="18"/>
          <w:szCs w:val="18"/>
        </w:rPr>
        <w:t>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2. The stressors that caused the injury (the whole course of conduct, June 2023 - June 2024)</w:t>
      </w:r>
    </w:p>
    <w:p>
      <w:pPr>
        <w:spacing w:before="0" w:after="100" w:line="264" w:lineRule="auto"/>
      </w:pPr>
      <w:r>
        <w:rPr>
          <w:rFonts w:ascii="Arial" w:hAnsi="Arial" w:cs="Arial"/>
          <w:b/>
          <w:sz w:val="20"/>
          <w:szCs w:val="20"/>
        </w:rPr>
        <w:t xml:space="preserve">List of stressors. </w:t>
      </w:r>
      <w:r>
        <w:rPr>
          <w:rFonts w:ascii="Arial" w:hAnsi="Arial" w:cs="Arial"/>
          <w:b w:val="0"/>
          <w:sz w:val="20"/>
          <w:szCs w:val="20"/>
        </w:rPr>
        <w:t>WC/2024/227 - Cory Lea Shepherd v Workers' Compensation Regulator. Set out for the purposes of Part 4.8 of the Workers' Compensation Appeal Guide. There are three stressors. Each is pleaded below by dated particulars, lettered in date order; the causal particulars are identified at the head of each stressor, and the other particulars are context. An index of the particulars is at Part 3 of the Schedule enclosed with the Appellant's letter; it adds no stressor.</w:t>
      </w:r>
      <w:r>
        <w:rPr>
          <w:rStyle w:val="CommentReference"/>
        </w:rPr>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 xml:space="preserve">No.</w:t>
            </w:r>
          </w:p>
        </w:tc>
        <w:tc>
          <w:tcPr>
            <w:tcW w:type="dxa" w:w="1616"/>
            <w:shd w:val="clear" w:color="auto" w:fill="E8E8E8"/>
            <w:tcMar>
              <w:top w:w="65" w:type="dxa"/>
              <w:left w:w="80" w:type="dxa"/>
              <w:bottom w:w="65" w:type="dxa"/>
              <w:right w:w="80" w:type="dxa"/>
            </w:tcMar>
          </w:tcPr>
          <w:p>
            <w:r>
              <w:rPr>
                <w:rFonts w:ascii="Arial" w:hAnsi="Arial"/>
                <w:b/>
                <w:color w:val="000000"/>
                <w:sz w:val="18"/>
              </w:rPr>
              <w:t xml:space="preserve">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 xml:space="preserve">Title</w:t>
            </w:r>
          </w:p>
        </w:tc>
        <w:tc>
          <w:tcPr>
            <w:tcW w:type="dxa" w:w="5017"/>
            <w:shd w:val="clear" w:color="auto" w:fill="E8E8E8"/>
            <w:tcMar>
              <w:top w:w="65" w:type="dxa"/>
              <w:left w:w="80" w:type="dxa"/>
              <w:bottom w:w="65" w:type="dxa"/>
              <w:right w:w="80" w:type="dxa"/>
            </w:tcMar>
          </w:tcPr>
          <w:p>
            <w:r>
              <w:rPr>
                <w:rFonts w:ascii="Arial" w:hAnsi="Arial"/>
                <w:b/>
                <w:color w:val="000000"/>
                <w:sz w:val="18"/>
              </w:rPr>
              <w:t xml:space="preserve">Description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 xml:space="preserve">1</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18 July 2023 to 18 June 2024; context from 6 June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The conditions in which the work was carried 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Database access removed and not restored; changes to process made effective the day they were notified, with no listed record of consultation; emergency calls misdirected and a directory entry not corrected; fixed office hours not stated for approximately nine months, and the written request for them met with a request to retract. Particulars 1(a) to 1(l); causal particulars 1(b), 1(d), 1(f) to 1(h), 1(k) and 1(l).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 xml:space="preserve">2</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9 February to 5 June 2024; later correction to 2 July 2025</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Remuneration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Pay wrong in four fortnights; Payroll's direction of 3 May 2024 not actioned at 13 May, still awaited on 21 May, lodged 28 May and recorded "Part Completed"; a paid leave request declined twice, with the Respondent acknowledging that the attachments were present. Particulars 2(a) to 2(o); causal particulars 2(a) to 2(i) and 2(l) to 2(n).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 xml:space="preserve">3</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17 March to 20 May 2024; context from 7 August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The roster and fatigue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A seven-hour break rostered in that role against a minimum of ten hours, or eight by written agreement, with no staff-initiated swap alleged; sick leave the next day; the fatigue enquiry answered after 23 days with a refusal; the roster decision recorded on 10 May 2024; no fatigue risk management at the Switchboard before 30 June 2024; and the Respondent's own review finding that the rostering was unreasonable management action. Particulars 3(a) to 3(h); causal particulars 3(b) to 3(h).</w:t>
            </w:r>
          </w:p>
        </w:tc>
      </w:tr>
    </w:tbl>
    <w:p>
      <w:pPr>
        <w:spacing w:after="60"/>
      </w:pPr>
    </w:p>
    <w:p>
      <w:pPr>
        <w:spacing w:before="80" w:after="140" w:line="264" w:lineRule="auto"/>
      </w:pPr>
      <w:r>
        <w:rPr>
          <w:rFonts w:ascii="Arial" w:hAnsi="Arial" w:cs="Arial"/>
          <w:b/>
          <w:sz w:val="20"/>
          <w:szCs w:val="20"/>
        </w:rPr>
        <w:t xml:space="preserve">In summary. </w:t>
      </w:r>
      <w:r>
        <w:rPr>
          <w:rFonts w:ascii="Arial" w:hAnsi="Arial" w:cs="Arial"/>
          <w:b w:val="0"/>
          <w:sz w:val="20"/>
          <w:szCs w:val="20"/>
        </w:rPr>
        <w:t>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fixed office hours not stated for approximately nine months [¶¶ 71 to 73]. Stressor 2: pay wrong in four fortnights [¶¶ 185 to 189]; Payroll's direction of 3 May 2024 not actioned at 13 May [¶ 193], still awaited on 21 May [¶ 195], lodged 28 May and recorded "Part Completed" [¶ 203]; and a paid leave request declined twice, with the Respondent acknowledging that attachments were present when the later decline was made [¶¶ 116, 118, 134]. Stressor 3: a seven-hour break rostered in that role [¶ 284] against a minimum of ten hours, or eight by written agreement [¶ 285], the agreement’s scope disputed by reference to the later HR email and no swap alleged [¶¶ 225, 234]; the fatigue enquiry answered after 23 days with a refusal [¶¶ 247, 249]; the employer’s statement that fatigue risk management assessment was implemented after 30 June 2024, read with the May risk-matrix discussion [¶¶ 264, 269 to 271]; and the Respondent's own review finding that the rostering was unreasonable management action [¶ 260].</w:t>
      </w:r>
    </w:p>
    <w:p>
      <w:pPr>
        <w:keepNext/>
        <w:pageBreakBefore/>
        <w:spacing w:before="0" w:after="100" w:line="264" w:lineRule="auto"/>
      </w:pPr>
      <w:r>
        <w:rPr>
          <w:rFonts w:ascii="Arial" w:hAnsi="Arial" w:cs="Arial"/>
          <w:b/>
          <w:sz w:val="22"/>
          <w:szCs w:val="22"/>
        </w:rPr>
        <w:t>STRESSOR 1 - THE CONDITIONS IN WHICH THE WORK WAS CARRIED ON</w:t>
      </w:r>
    </w:p>
    <w:p>
      <w:pPr>
        <w:spacing w:before="0" w:after="100" w:line="264" w:lineRule="auto"/>
      </w:pPr>
      <w:r>
        <w:rPr>
          <w:rFonts w:ascii="Arial" w:hAnsi="Arial" w:cs="Arial"/>
          <w:b/>
          <w:sz w:val="20"/>
          <w:szCs w:val="20"/>
        </w:rPr>
        <w:t xml:space="preserve">Scope of Stressor 1. </w:t>
      </w:r>
      <w:r>
        <w:rPr>
          <w:rFonts w:ascii="Arial" w:hAnsi="Arial" w:cs="Arial"/>
          <w:b w:val="0"/>
          <w:sz w:val="20"/>
          <w:szCs w:val="20"/>
        </w:rPr>
        <w:t>The causal particulars are 1(b), 1(d), 1(f) to 1(h), 1(k) and 1(l). Particulars 1(a), 1(c), 1(e), 1(i) and 1(j) preserve the contextual sequences in the existing pleading. They are not added as separate causes within this theme. Each dated particular is read with the duties and standards below.</w:t>
      </w:r>
    </w:p>
    <w:p>
      <w:pPr>
        <w:spacing w:before="0" w:after="100" w:line="264" w:lineRule="auto"/>
      </w:pPr>
      <w:r>
        <w:rPr>
          <w:rFonts w:ascii="Arial" w:hAnsi="Arial" w:cs="Arial"/>
          <w:b/>
          <w:sz w:val="20"/>
          <w:szCs w:val="20"/>
        </w:rPr>
        <w:t xml:space="preserve">The duty to keep the contact information accurate. </w:t>
      </w:r>
      <w:r>
        <w:rPr>
          <w:rFonts w:ascii="Arial" w:hAnsi="Arial" w:cs="Arial"/>
          <w:b w:val="0"/>
          <w:sz w:val="20"/>
          <w:szCs w:val="20"/>
        </w:rPr>
        <w:t>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b w:val="0"/>
          <w:sz w:val="20"/>
          <w:szCs w:val="20"/>
        </w:rPr>
        <w:t>A further key responsibility is to support hospital staff in the allocation, coordination and fault repair of all pager units, including maintaining the database and registers with accurate and current information. [¶ 7] The operational particulars below are pleaded against that duty.</w:t>
      </w:r>
    </w:p>
    <w:p>
      <w:pPr>
        <w:spacing w:before="0" w:after="100" w:line="264" w:lineRule="auto"/>
      </w:pPr>
      <w:r>
        <w:rPr>
          <w:rFonts w:ascii="Arial" w:hAnsi="Arial" w:cs="Arial"/>
          <w:b/>
          <w:sz w:val="20"/>
          <w:szCs w:val="20"/>
        </w:rPr>
        <w:t xml:space="preserve">How critical the function is, as the Respondent admits. </w:t>
      </w:r>
      <w:r>
        <w:rPr>
          <w:rFonts w:ascii="Arial" w:hAnsi="Arial" w:cs="Arial"/>
          <w:b w:val="0"/>
          <w:sz w:val="20"/>
          <w:szCs w:val="20"/>
        </w:rPr>
        <w:t>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pleaded at 1(b). Its operation in May 2024 is pleaded at 1(h) and 1(k).</w:t>
      </w:r>
    </w:p>
    <w:p>
      <w:pPr>
        <w:spacing w:before="0" w:after="100" w:line="264" w:lineRule="auto"/>
      </w:pPr>
      <w:r>
        <w:rPr>
          <w:rFonts w:ascii="Arial" w:hAnsi="Arial" w:cs="Arial"/>
          <w:b/>
          <w:sz w:val="20"/>
          <w:szCs w:val="20"/>
        </w:rPr>
        <w:t xml:space="preserve">The duty to consult, and the absence of any record of consultation. </w:t>
      </w:r>
      <w:r>
        <w:rPr>
          <w:rFonts w:ascii="Arial" w:hAnsi="Arial" w:cs="Arial"/>
          <w:b w:val="0"/>
          <w:sz w:val="20"/>
          <w:szCs w:val="20"/>
        </w:rPr>
        <w:t>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b/>
          <w:sz w:val="20"/>
          <w:szCs w:val="20"/>
        </w:rPr>
        <w:t xml:space="preserve">The safety responsibilities of the position. </w:t>
      </w:r>
      <w:r>
        <w:rPr>
          <w:rFonts w:ascii="Arial" w:hAnsi="Arial" w:cs="Arial"/>
          <w:b w:val="0"/>
          <w:sz w:val="20"/>
          <w:szCs w:val="20"/>
        </w:rPr>
        <w:t>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b/>
          <w:sz w:val="20"/>
          <w:szCs w:val="20"/>
        </w:rPr>
        <w:t xml:space="preserve">1(a) Removal of the Communication Book entry (on or around 6 June 2023). </w:t>
      </w:r>
      <w:r>
        <w:rPr>
          <w:rFonts w:ascii="Arial" w:hAnsi="Arial" w:cs="Arial"/>
          <w:b w:val="0"/>
          <w:sz w:val="20"/>
          <w:szCs w:val="20"/>
        </w:rPr>
        <w:t>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1(b) Database access and the restricted correction process (18 July 2023 to 18 June 2024). </w:t>
      </w:r>
      <w:r>
        <w:rPr>
          <w:rFonts w:ascii="Arial" w:hAnsi="Arial" w:cs="Arial"/>
          <w:b w:val="0"/>
          <w:sz w:val="20"/>
          <w:szCs w:val="20"/>
        </w:rPr>
        <w:t>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She stated: "While I am fixing up the database and all of its entries, I will be removing everyone's access to the database." [¶ 40]</w:t>
      </w:r>
    </w:p>
    <w:p>
      <w:pPr>
        <w:spacing w:before="0" w:after="100" w:line="264" w:lineRule="auto"/>
      </w:pPr>
      <w:r>
        <w:rPr>
          <w:rFonts w:ascii="Arial" w:hAnsi="Arial" w:cs="Arial"/>
          <w:sz w:val="20"/>
          <w:szCs w:val="20"/>
        </w:rPr>
        <w:t>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The Respondent's own review decision records the same matters. [¶¶ 46 to 48]</w:t>
      </w:r>
    </w:p>
    <w:p>
      <w:pPr>
        <w:spacing w:before="0" w:after="100" w:line="264" w:lineRule="auto"/>
      </w:pPr>
      <w:r>
        <w:rPr>
          <w:rFonts w:ascii="Arial" w:hAnsi="Arial" w:cs="Arial"/>
          <w:b/>
          <w:sz w:val="20"/>
          <w:szCs w:val="20"/>
        </w:rPr>
        <w:t xml:space="preserve">The Respondent does not allege that access to the database was restored to the Appellant at any time before 18 June 2024. </w:t>
      </w:r>
      <w:r>
        <w:rPr>
          <w:rFonts w:ascii="Arial" w:hAnsi="Arial" w:cs="Arial"/>
          <w:b w:val="0"/>
          <w:sz w:val="20"/>
          <w:szCs w:val="20"/>
        </w:rPr>
        <w:t>[¶ 55] From 18 July 2023 to 18 June 2024 is eleven months. Nothing is alleged to have happened in that time to restore access. The duty described above remained on the position throughout that period.</w:t>
      </w:r>
    </w:p>
    <w:p>
      <w:pPr>
        <w:spacing w:before="0" w:after="100" w:line="264" w:lineRule="auto"/>
      </w:pPr>
      <w:r>
        <w:rPr>
          <w:rFonts w:ascii="Arial" w:hAnsi="Arial" w:cs="Arial"/>
          <w:b/>
          <w:sz w:val="20"/>
          <w:szCs w:val="20"/>
        </w:rPr>
        <w:t xml:space="preserve">The repair path, and its availability. </w:t>
      </w:r>
      <w:r>
        <w:rPr>
          <w:rFonts w:ascii="Arial" w:hAnsi="Arial" w:cs="Arial"/>
          <w:b w:val="0"/>
          <w:sz w:val="20"/>
          <w:szCs w:val="20"/>
        </w:rPr>
        <w:t>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How long an incorrect entry stayed uncorrected depended on when those two people were available.</w:t>
      </w:r>
    </w:p>
    <w:p>
      <w:pPr>
        <w:spacing w:before="0" w:after="100" w:line="264" w:lineRule="auto"/>
      </w:pPr>
      <w:r>
        <w:rPr>
          <w:rFonts w:ascii="Arial" w:hAnsi="Arial" w:cs="Arial"/>
          <w:b/>
          <w:sz w:val="20"/>
          <w:szCs w:val="20"/>
        </w:rPr>
        <w:t xml:space="preserve">1(c) Roster concerns and the move to full time (7 August to 16 October 2023). </w:t>
      </w:r>
      <w:r>
        <w:rPr>
          <w:rFonts w:ascii="Arial" w:hAnsi="Arial" w:cs="Arial"/>
          <w:b w:val="0"/>
          <w:sz w:val="20"/>
          <w:szCs w:val="20"/>
        </w:rPr>
        <w:t>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At 3:13 pm the Director replied. [¶ 158]</w:t>
      </w:r>
    </w:p>
    <w:p>
      <w:pPr>
        <w:spacing w:before="0" w:after="100" w:line="264" w:lineRule="auto"/>
      </w:pPr>
      <w:r>
        <w:rPr>
          <w:rFonts w:ascii="Arial" w:hAnsi="Arial" w:cs="Arial"/>
          <w:sz w:val="20"/>
          <w:szCs w:val="20"/>
        </w:rPr>
        <w:t>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On 29 August 2023 she sent HR Policy E12, and on 4 September 2023 the Appellant replied. [¶¶ 160 to 161]</w:t>
      </w:r>
    </w:p>
    <w:p>
      <w:pPr>
        <w:spacing w:before="0" w:after="100" w:line="264" w:lineRule="auto"/>
      </w:pPr>
      <w:r>
        <w:rPr>
          <w:rFonts w:ascii="Arial" w:hAnsi="Arial" w:cs="Arial"/>
          <w:sz w:val="20"/>
          <w:szCs w:val="20"/>
        </w:rPr>
        <w:t>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b/>
          <w:sz w:val="20"/>
          <w:szCs w:val="20"/>
        </w:rPr>
        <w:t xml:space="preserve">1(d) Notification of variable office hours (23 August 2023 to 17 May 2024). </w:t>
      </w:r>
      <w:r>
        <w:rPr>
          <w:rFonts w:ascii="Arial" w:hAnsi="Arial" w:cs="Arial"/>
          <w:b w:val="0"/>
          <w:sz w:val="20"/>
          <w:szCs w:val="20"/>
        </w:rPr>
        <w:t>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b/>
          <w:sz w:val="20"/>
          <w:szCs w:val="20"/>
        </w:rPr>
        <w:t xml:space="preserve">The Respondent does not allege that fixed office hours were stated to the Switchboard staff at any time between 23 August 2023 and 17 May 2024. </w:t>
      </w:r>
      <w:r>
        <w:rPr>
          <w:rFonts w:ascii="Arial" w:hAnsi="Arial" w:cs="Arial"/>
          <w:b w:val="0"/>
          <w:sz w:val="20"/>
          <w:szCs w:val="20"/>
        </w:rPr>
        <w:t>[¶ 73] That is approximately nine months.</w:t>
      </w:r>
    </w:p>
    <w:p>
      <w:pPr>
        <w:spacing w:before="0" w:after="100" w:line="264" w:lineRule="auto"/>
      </w:pPr>
      <w:r>
        <w:rPr>
          <w:rFonts w:ascii="Arial" w:hAnsi="Arial" w:cs="Arial"/>
          <w:b/>
          <w:sz w:val="20"/>
          <w:szCs w:val="20"/>
        </w:rPr>
        <w:t xml:space="preserve">1(e) Pandemic leave submissions (20 February to 1 March 2024). </w:t>
      </w:r>
      <w:r>
        <w:rPr>
          <w:rFonts w:ascii="Arial" w:hAnsi="Arial" w:cs="Arial"/>
          <w:b w:val="0"/>
          <w:sz w:val="20"/>
          <w:szCs w:val="20"/>
        </w:rPr>
        <w:t>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1(f) After hours on call process changed (15 April 2024). </w:t>
      </w:r>
      <w:r>
        <w:rPr>
          <w:rFonts w:ascii="Arial" w:hAnsi="Arial" w:cs="Arial"/>
          <w:b w:val="0"/>
          <w:sz w:val="20"/>
          <w:szCs w:val="20"/>
        </w:rPr>
        <w:t>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She signed it as "A/Switchboard Manager". [¶ 53]</w:t>
      </w:r>
    </w:p>
    <w:p>
      <w:pPr>
        <w:spacing w:before="0" w:after="100" w:line="264" w:lineRule="auto"/>
      </w:pPr>
      <w:r>
        <w:rPr>
          <w:rFonts w:ascii="Arial" w:hAnsi="Arial" w:cs="Arial"/>
          <w:b/>
          <w:sz w:val="20"/>
          <w:szCs w:val="20"/>
        </w:rPr>
        <w:t xml:space="preserve">1(g) Data entry process changed (19 April 2024). </w:t>
      </w:r>
      <w:r>
        <w:rPr>
          <w:rFonts w:ascii="Arial" w:hAnsi="Arial" w:cs="Arial"/>
          <w:b w:val="0"/>
          <w:sz w:val="20"/>
          <w:szCs w:val="20"/>
        </w:rPr>
        <w:t>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b/>
          <w:sz w:val="20"/>
          <w:szCs w:val="20"/>
        </w:rPr>
        <w:t xml:space="preserve">1(h) Misdirected calls and the MASPER response (2 to 9 May 2024). </w:t>
      </w:r>
      <w:r>
        <w:rPr>
          <w:rFonts w:ascii="Arial" w:hAnsi="Arial" w:cs="Arial"/>
          <w:b w:val="0"/>
          <w:sz w:val="20"/>
          <w:szCs w:val="20"/>
        </w:rPr>
        <w:t>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b w:val="0"/>
          <w:sz w:val="20"/>
          <w:szCs w:val="20"/>
        </w:rPr>
        <w:t>In April 2025 the console took between 269 and 444 calls on an eight-hour shift (Stressor 3(b), the ordinary-call-load paragraph below); the Appellant's evidence is that the load in May 2024 was of the same order. Emergency codes were received and paged through it throughout the day (Stressor 3(b)).</w:t>
      </w:r>
    </w:p>
    <w:p>
      <w:pPr>
        <w:spacing w:before="0" w:after="100" w:line="264" w:lineRule="auto"/>
      </w:pPr>
      <w:r>
        <w:rPr>
          <w:rFonts w:ascii="Arial" w:hAnsi="Arial" w:cs="Arial"/>
          <w:sz w:val="20"/>
          <w:szCs w:val="20"/>
        </w:rP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That reply was sent five days, eighteen hours and fourteen minutes after the first email. [¶¶ 62 to 64]</w:t>
      </w:r>
    </w:p>
    <w:p>
      <w:pPr>
        <w:spacing w:before="0" w:after="100" w:line="264" w:lineRule="auto"/>
      </w:pPr>
      <w:r>
        <w:rPr>
          <w:rFonts w:ascii="Arial" w:hAnsi="Arial" w:cs="Arial"/>
          <w:sz w:val="20"/>
          <w:szCs w:val="20"/>
        </w:rPr>
        <w:t>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So the sequence at the console was: the first report on 3 May 2024, a second on 8 May (the fifth calendar day after the first), nine occasions in all, a first reply after five days, eighteen hours and fourteen minutes, and a new process communicated to Switchboard staff at 10:15 am on 9 May (the sixth day). [¶¶ 56 to 69]</w:t>
      </w:r>
    </w:p>
    <w:p>
      <w:pPr>
        <w:spacing w:before="0" w:after="100" w:line="264" w:lineRule="auto"/>
      </w:pPr>
      <w:r>
        <w:rPr>
          <w:rFonts w:ascii="Arial" w:hAnsi="Arial" w:cs="Arial"/>
          <w:b/>
          <w:sz w:val="20"/>
          <w:szCs w:val="20"/>
        </w:rPr>
        <w:t xml:space="preserve">1(i) The complaint of 13 May 2024 - chronology only (13 May 2024). </w:t>
      </w:r>
      <w:r>
        <w:rPr>
          <w:rFonts w:ascii="Arial" w:hAnsi="Arial" w:cs="Arial"/>
          <w:b w:val="0"/>
          <w:sz w:val="20"/>
          <w:szCs w:val="20"/>
        </w:rPr>
        <w:t>On 13 May 2024 the Appellant lodged a corrupt conduct complaint regarding clinical risks. The Ethical Standards Unit formally determined this constituted a Public Interest Disclosure (Admitted Fact: Form 24, para 20, admitted 18 February 2026). The content is not set out. It is pleaded for chronology only; no cause of the injury and no motive is alleged in connection with it.</w:t>
      </w:r>
    </w:p>
    <w:p>
      <w:pPr>
        <w:spacing w:before="0" w:after="100" w:line="264" w:lineRule="auto"/>
      </w:pPr>
      <w:r>
        <w:rPr>
          <w:rFonts w:ascii="Arial" w:hAnsi="Arial" w:cs="Arial"/>
          <w:b/>
          <w:sz w:val="20"/>
          <w:szCs w:val="20"/>
        </w:rPr>
        <w:t xml:space="preserve">1(j) On-call roster and absence notification instructions - context only (13 to 15 May 2024). </w:t>
      </w:r>
      <w:r>
        <w:rPr>
          <w:rFonts w:ascii="Arial" w:hAnsi="Arial" w:cs="Arial"/>
          <w:b w:val="0"/>
          <w:sz w:val="20"/>
          <w:szCs w:val="20"/>
        </w:rPr>
        <w:t>On 13 May 2024 at 4:29 pm the on-call roster for the fortnight beginning that day was circulated to the Switchboard team. [¶¶ 111 to 112]</w:t>
      </w:r>
    </w:p>
    <w:p>
      <w:pPr>
        <w:spacing w:before="0" w:after="100" w:line="264" w:lineRule="auto"/>
      </w:pPr>
      <w:r>
        <w:rPr>
          <w:rFonts w:ascii="Arial" w:hAnsi="Arial" w:cs="Arial"/>
          <w:b/>
          <w:sz w:val="20"/>
          <w:szCs w:val="20"/>
        </w:rPr>
        <w:t xml:space="preserve"/>
      </w:r>
      <w:r>
        <w:rPr>
          <w:rFonts w:ascii="Arial" w:hAnsi="Arial" w:cs="Arial"/>
          <w:b w:val="0"/>
          <w:sz w:val="20"/>
          <w:szCs w:val="20"/>
        </w:rPr>
        <w:t>From 14 May 2024 the process for notifying unavailability for a rostered shift was also directed through the Switchboard Manager, both emails identifying the Switchboard as a means of contacting her. [¶¶ 162 to 165]</w:t>
      </w:r>
    </w:p>
    <w:p>
      <w:pPr>
        <w:spacing w:before="0" w:after="100" w:line="264" w:lineRule="auto"/>
      </w:pPr>
      <w:r>
        <w:rPr>
          <w:rFonts w:ascii="Arial" w:hAnsi="Arial" w:cs="Arial"/>
          <w:sz w:val="20"/>
          <w:szCs w:val="20"/>
        </w:rPr>
        <w:t>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1(k) Respiratory directory error and requests for correction (15 to 20 May 2024). </w:t>
      </w:r>
      <w:r>
        <w:rPr>
          <w:rFonts w:ascii="Arial" w:hAnsi="Arial" w:cs="Arial"/>
          <w:b w:val="0"/>
          <w:sz w:val="20"/>
          <w:szCs w:val="20"/>
        </w:rPr>
        <w:t>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The Respondent does not allege that any response was made to that email before 20 May 2024. [¶ 90]</w:t>
      </w:r>
    </w:p>
    <w:p>
      <w:pPr>
        <w:spacing w:before="0" w:after="100" w:line="264" w:lineRule="auto"/>
      </w:pPr>
      <w:r>
        <w:rPr>
          <w:rFonts w:ascii="Arial" w:hAnsi="Arial" w:cs="Arial"/>
          <w:sz w:val="20"/>
          <w:szCs w:val="20"/>
        </w:rPr>
        <w:t>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The Respondent does not allege that any response was made to that email before 2:05 pm that day. [¶ 93]</w:t>
      </w:r>
    </w:p>
    <w:p>
      <w:pPr>
        <w:spacing w:before="0" w:after="100" w:line="264" w:lineRule="auto"/>
      </w:pPr>
      <w:r>
        <w:rPr>
          <w:rFonts w:ascii="Arial" w:hAnsi="Arial" w:cs="Arial"/>
          <w:sz w:val="20"/>
          <w:szCs w:val="20"/>
        </w:rPr>
        <w:t>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sz w:val="20"/>
          <w:szCs w:val="20"/>
        </w:rPr>
        <w:t>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1(l) Office hours request and the retraction response (15 to 21 May 2024). </w:t>
      </w:r>
      <w:r>
        <w:rPr>
          <w:rFonts w:ascii="Arial" w:hAnsi="Arial" w:cs="Arial"/>
          <w:b w:val="0"/>
          <w:sz w:val="20"/>
          <w:szCs w:val="20"/>
        </w:rP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At 7:09 pm the Appellant replied that "Requesting clarity on business hours is a reasonable question". [¶ 78] The Respondent's outline of Ms Taylor's evidence, served 24 September 2026, states that, acting on HR's advice, she removed the email of 15 May 2024 from the shared Switchboard inbox.</w:t>
      </w:r>
    </w:p>
    <w:p>
      <w:pPr>
        <w:spacing w:before="0" w:after="100" w:line="264" w:lineRule="auto"/>
      </w:pPr>
      <w:r>
        <w:rPr>
          <w:rFonts w:ascii="Arial" w:hAnsi="Arial" w:cs="Arial"/>
          <w:sz w:val="20"/>
          <w:szCs w:val="20"/>
        </w:rP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b/>
          <w:sz w:val="20"/>
          <w:szCs w:val="20"/>
        </w:rPr>
        <w:t xml:space="preserve">So the request for the Manager's office hours was made at 1:15 pm on 15 May 2024. </w:t>
      </w:r>
      <w:r>
        <w:rPr>
          <w:rFonts w:ascii="Arial" w:hAnsi="Arial" w:cs="Arial"/>
          <w:b w:val="0"/>
          <w:sz w:val="20"/>
          <w:szCs w:val="20"/>
        </w:rPr>
        <w:t>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approximately nine months. [¶¶ 73 to 84]</w:t>
      </w:r>
    </w:p>
    <w:p>
      <w:pPr>
        <w:keepNext/>
        <w:spacing w:before="0" w:after="100" w:line="264" w:lineRule="auto"/>
      </w:pPr>
      <w:r>
        <w:rPr>
          <w:rFonts w:ascii="Arial" w:hAnsi="Arial" w:cs="Arial"/>
          <w:b/>
          <w:sz w:val="20"/>
          <w:szCs w:val="20"/>
        </w:rPr>
        <w:t>Supporting records and overlap with the other themes</w:t>
      </w:r>
    </w:p>
    <w:p>
      <w:pPr>
        <w:spacing w:before="0" w:after="100" w:line="264" w:lineRule="auto"/>
      </w:pPr>
      <w:r>
        <w:rPr>
          <w:rFonts w:ascii="Arial" w:hAnsi="Arial" w:cs="Arial"/>
          <w:b/>
          <w:sz w:val="20"/>
          <w:szCs w:val="20"/>
        </w:rPr>
        <w:t xml:space="preserve">The Manager's notice of 18 June 2024. </w:t>
      </w:r>
      <w:r>
        <w:rPr>
          <w:rFonts w:ascii="Arial" w:hAnsi="Arial" w:cs="Arial"/>
          <w:b w:val="0"/>
          <w:sz w:val="20"/>
          <w:szCs w:val="20"/>
        </w:rPr>
        <w:t>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val="0"/>
          <w:sz w:val="20"/>
          <w:szCs w:val="20"/>
        </w:rPr>
        <w:t>Payroll's direction of 3 May 2024 to correct four fortnights had not been actioned on 13 May [¶¶ 192 to 193] and was still awaited on 21 May [¶¶ 194 to 195]; that sequence is pleaded at Stressor 2(h), 2(i), 2(l) and 2(m) and is repeated here as part of the conditions in which the work was carried on.</w:t>
      </w:r>
    </w:p>
    <w:p>
      <w:pPr>
        <w:spacing w:before="0" w:after="100" w:line="264" w:lineRule="auto"/>
      </w:pPr>
      <w:r>
        <w:rPr>
          <w:rFonts w:ascii="Arial" w:hAnsi="Arial" w:cs="Arial"/>
          <w:b/>
          <w:sz w:val="20"/>
          <w:szCs w:val="20"/>
        </w:rPr>
        <w:t xml:space="preserve">The rostering concern raised in August 2023 recurred, and the employer's own documents record it. </w:t>
      </w:r>
      <w:r>
        <w:rPr>
          <w:rFonts w:ascii="Arial" w:hAnsi="Arial" w:cs="Arial"/>
          <w:b w:val="0"/>
          <w:sz w:val="20"/>
          <w:szCs w:val="20"/>
        </w:rPr>
        <w:t>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3(e) to 3(g) and are repeated here because they bear on this stressor.</w:t>
      </w:r>
    </w:p>
    <w:p>
      <w:pPr>
        <w:spacing w:before="0" w:after="100" w:line="264" w:lineRule="auto"/>
      </w:pPr>
      <w:r>
        <w:rPr>
          <w:rFonts w:ascii="Arial" w:hAnsi="Arial" w:cs="Arial"/>
          <w:b/>
          <w:sz w:val="20"/>
          <w:szCs w:val="20"/>
        </w:rPr>
        <w:t xml:space="preserve">Context and the Respondent's pleaded position. </w:t>
      </w:r>
      <w:r>
        <w:rPr>
          <w:rFonts w:ascii="Arial" w:hAnsi="Arial" w:cs="Arial"/>
          <w:b w:val="0"/>
          <w:sz w:val="20"/>
          <w:szCs w:val="20"/>
        </w:rPr>
        <w:t>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1(a), 1(c), 1(e), 1(i) and 1(j),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1(b), 1(d), 1(f) to 1(h), 1(k) and 1(l), read with the opening duties and standards and the supporting records.</w:t>
      </w:r>
      <w:r>
        <w:rPr>
          <w:rStyle w:val="CommentReference"/>
        </w:rPr>
      </w:r>
    </w:p>
    <w:p>
      <w:pPr>
        <w:spacing w:before="80" w:after="140" w:line="264" w:lineRule="auto"/>
      </w:pPr>
      <w:r>
        <w:rPr>
          <w:rFonts w:ascii="Arial" w:hAnsi="Arial" w:cs="Arial"/>
          <w:b/>
          <w:sz w:val="20"/>
          <w:szCs w:val="20"/>
        </w:rPr>
        <w:t xml:space="preserve">The medical link - Stressor 1. </w:t>
      </w:r>
      <w:r>
        <w:rPr>
          <w:rFonts w:ascii="Arial" w:hAnsi="Arial" w:cs="Arial"/>
          <w:sz w:val="20"/>
          <w:szCs w:val="20"/>
        </w:rPr>
        <w:t>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pacing w:before="0" w:after="100" w:line="264" w:lineRule="auto"/>
      </w:pPr>
      <w:r>
        <w:rPr>
          <w:rFonts w:ascii="Arial" w:hAnsi="Arial" w:cs="Arial"/>
          <w:b/>
          <w:sz w:val="22"/>
          <w:szCs w:val="22"/>
        </w:rPr>
        <w:t>STRESSOR 2 - REMUNERATION</w:t>
      </w:r>
    </w:p>
    <w:p>
      <w:pPr>
        <w:spacing w:before="0" w:after="100" w:line="264" w:lineRule="auto"/>
      </w:pPr>
      <w:r>
        <w:rPr>
          <w:rFonts w:ascii="Arial" w:hAnsi="Arial" w:cs="Arial"/>
          <w:b/>
          <w:sz w:val="20"/>
          <w:szCs w:val="20"/>
        </w:rPr>
        <w:t xml:space="preserve">Scope of Stressor 2. </w:t>
      </w:r>
      <w:r>
        <w:rPr>
          <w:rFonts w:ascii="Arial" w:hAnsi="Arial" w:cs="Arial"/>
          <w:b w:val="0"/>
          <w:sz w:val="20"/>
          <w:szCs w:val="20"/>
        </w:rPr>
        <w:t>Particulars 2(a) to 2(i) and 2(l) to 2(n) identify the entitlement and correction events before the certified injury date. Particular 2(j) records a completed claim in the same period, and particular 2(k) the related HR follow-up; both are context. Particular 2(o) records a later correction of the earlier error, not an additional cause arising in 2025.</w:t>
      </w:r>
    </w:p>
    <w:p>
      <w:pPr>
        <w:spacing w:before="0" w:after="100" w:line="264" w:lineRule="auto"/>
      </w:pPr>
      <w:r>
        <w:rPr>
          <w:rFonts w:ascii="Arial" w:hAnsi="Arial" w:cs="Arial"/>
          <w:b/>
          <w:sz w:val="20"/>
          <w:szCs w:val="20"/>
        </w:rPr>
        <w:t xml:space="preserve">The basis of the entitlement. </w:t>
      </w:r>
      <w:r>
        <w:rPr>
          <w:rFonts w:ascii="Arial" w:hAnsi="Arial" w:cs="Arial"/>
          <w:b w:val="0"/>
          <w:sz w:val="20"/>
          <w:szCs w:val="20"/>
        </w:rPr>
        <w:t>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1(c) and 3(a) and are repeated here.</w:t>
      </w:r>
    </w:p>
    <w:p>
      <w:pPr>
        <w:spacing w:before="0" w:after="100" w:line="264" w:lineRule="auto"/>
      </w:pPr>
      <w:r>
        <w:rPr>
          <w:rFonts w:ascii="Arial" w:hAnsi="Arial" w:cs="Arial"/>
          <w:b/>
          <w:sz w:val="20"/>
          <w:szCs w:val="20"/>
        </w:rPr>
        <w:t xml:space="preserve">Who submitted the recorded corrections. </w:t>
      </w:r>
      <w:r>
        <w:rPr>
          <w:rFonts w:ascii="Arial" w:hAnsi="Arial" w:cs="Arial"/>
          <w:b w:val="0"/>
          <w:sz w:val="20"/>
          <w:szCs w:val="20"/>
        </w:rPr>
        <w:t>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2(a) Seven hours recorded instead of eight (9 February 2024). </w:t>
      </w:r>
      <w:r>
        <w:rPr>
          <w:rFonts w:ascii="Arial" w:hAnsi="Arial" w:cs="Arial"/>
          <w:b w:val="0"/>
          <w:sz w:val="20"/>
          <w:szCs w:val="20"/>
        </w:rPr>
        <w:t>The shift of 9 February 2024 was recorded as seven hours instead of eight, so the fortnight commencing 5 February 2024 was under the contracted hours and was topped up from the Appellant's RDO balance. [¶¶ 185 to 186]</w:t>
      </w:r>
    </w:p>
    <w:p>
      <w:pPr>
        <w:spacing w:before="0" w:after="100" w:line="264" w:lineRule="auto"/>
      </w:pPr>
      <w:r>
        <w:rPr>
          <w:rFonts w:ascii="Arial" w:hAnsi="Arial" w:cs="Arial"/>
          <w:b/>
          <w:sz w:val="20"/>
          <w:szCs w:val="20"/>
        </w:rPr>
        <w:t xml:space="preserve">2(b) Processing of paid pandemic leave (20 February to 1 March 2024). </w:t>
      </w:r>
      <w:r>
        <w:rPr>
          <w:rFonts w:ascii="Arial" w:hAnsi="Arial" w:cs="Arial"/>
          <w:b w:val="0"/>
          <w:sz w:val="20"/>
          <w:szCs w:val="20"/>
        </w:rPr>
        <w:t>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1(e).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2(c) Second shift recorded as seven hours (28 February 2024). </w:t>
      </w:r>
      <w:r>
        <w:rPr>
          <w:rFonts w:ascii="Arial" w:hAnsi="Arial" w:cs="Arial"/>
          <w:b w:val="0"/>
          <w:sz w:val="20"/>
          <w:szCs w:val="20"/>
        </w:rPr>
        <w:t>The shift of 28 February 2024 was recorded as seven hours instead of eight, and the fortnight commencing 19 February 2024 was topped up from the Appellant’s RDO balance. [¶ 187]</w:t>
      </w:r>
    </w:p>
    <w:p>
      <w:pPr>
        <w:spacing w:before="0" w:after="100" w:line="264" w:lineRule="auto"/>
      </w:pPr>
      <w:r>
        <w:rPr>
          <w:rFonts w:ascii="Arial" w:hAnsi="Arial" w:cs="Arial"/>
          <w:b/>
          <w:sz w:val="20"/>
          <w:szCs w:val="20"/>
        </w:rPr>
        <w:t xml:space="preserve">2(d) Overtime recorded as ordinary shifts (fortnight beginning 18 March 2024). </w:t>
      </w:r>
      <w:r>
        <w:rPr>
          <w:rFonts w:ascii="Arial" w:hAnsi="Arial" w:cs="Arial"/>
          <w:b w:val="0"/>
          <w:sz w:val="20"/>
          <w:szCs w:val="20"/>
        </w:rPr>
        <w:t>The fortnight commencing 18 March 2024, which contained the shift of 18 March, was recorded with too many ordinary shifts, reducing wages, because one of the shifts needed to be overtime. [¶ 188]</w:t>
      </w:r>
    </w:p>
    <w:p>
      <w:pPr>
        <w:spacing w:before="0" w:after="100" w:line="264" w:lineRule="auto"/>
      </w:pPr>
      <w:r>
        <w:rPr>
          <w:rFonts w:ascii="Arial" w:hAnsi="Arial" w:cs="Arial"/>
          <w:b/>
          <w:sz w:val="20"/>
          <w:szCs w:val="20"/>
        </w:rPr>
        <w:t xml:space="preserve">2(e) Public holiday claim submitted late (30 March 2024). </w:t>
      </w:r>
      <w:r>
        <w:rPr>
          <w:rFonts w:ascii="Arial" w:hAnsi="Arial" w:cs="Arial"/>
          <w:b w:val="0"/>
          <w:sz w:val="20"/>
          <w:szCs w:val="20"/>
        </w:rPr>
        <w:t>The public holiday of 30 March 2024 was, on Payroll's later account, "submitted late".</w:t>
      </w:r>
    </w:p>
    <w:p>
      <w:pPr>
        <w:spacing w:before="0" w:after="100" w:line="264" w:lineRule="auto"/>
      </w:pPr>
      <w:r>
        <w:rPr>
          <w:rFonts w:ascii="Arial" w:hAnsi="Arial" w:cs="Arial"/>
          <w:b/>
          <w:sz w:val="20"/>
          <w:szCs w:val="20"/>
        </w:rPr>
        <w:t xml:space="preserve">2(f) Hours above the contracted fortnight (fortnight beginning 1 April 2024). </w:t>
      </w:r>
      <w:r>
        <w:rPr>
          <w:rFonts w:ascii="Arial" w:hAnsi="Arial" w:cs="Arial"/>
          <w:b w:val="0"/>
          <w:sz w:val="20"/>
          <w:szCs w:val="20"/>
        </w:rPr>
        <w:t>The fortnight commencing 1 April 2024 was over the contracted 76 hours, again requiring overtime. [¶ 189]</w:t>
      </w:r>
    </w:p>
    <w:p>
      <w:pPr>
        <w:spacing w:before="0" w:after="100" w:line="264" w:lineRule="auto"/>
      </w:pPr>
      <w:r>
        <w:rPr>
          <w:rFonts w:ascii="Arial" w:hAnsi="Arial" w:cs="Arial"/>
          <w:b/>
          <w:sz w:val="20"/>
          <w:szCs w:val="20"/>
        </w:rPr>
        <w:t xml:space="preserve">2(g) Pay enquiry and public holiday review (8 April to 1 May 2024). </w:t>
      </w:r>
      <w:r>
        <w:rPr>
          <w:rFonts w:ascii="Arial" w:hAnsi="Arial" w:cs="Arial"/>
          <w:b w:val="0"/>
          <w:sz w:val="20"/>
          <w:szCs w:val="20"/>
        </w:rPr>
        <w:t>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w:t>
      </w:r>
    </w:p>
    <w:p>
      <w:pPr>
        <w:spacing w:before="0" w:after="100" w:line="264" w:lineRule="auto"/>
      </w:pPr>
      <w:r>
        <w:rPr>
          <w:rFonts w:ascii="Arial" w:hAnsi="Arial" w:cs="Arial"/>
          <w:b/>
          <w:sz w:val="20"/>
          <w:szCs w:val="20"/>
        </w:rPr>
        <w:t xml:space="preserve">Public holidays on which the Appellant was not required to work. </w:t>
      </w:r>
      <w:r>
        <w:rPr>
          <w:rFonts w:ascii="Arial" w:hAnsi="Arial" w:cs="Arial"/>
          <w:b w:val="0"/>
          <w:sz w:val="20"/>
          <w:szCs w:val="20"/>
        </w:rPr>
        <w:t>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2(h) Payroll directed four fortnight corrections (3 May 2024). </w:t>
      </w:r>
      <w:r>
        <w:rPr>
          <w:rFonts w:ascii="Arial" w:hAnsi="Arial" w:cs="Arial"/>
          <w:b w:val="0"/>
          <w:sz w:val="20"/>
          <w:szCs w:val="20"/>
        </w:rPr>
        <w:t>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b/>
          <w:sz w:val="20"/>
          <w:szCs w:val="20"/>
        </w:rPr>
        <w:t xml:space="preserve">2(i) Follow-up found no correction (10 to 13 May 2024). </w:t>
      </w:r>
      <w:r>
        <w:rPr>
          <w:rFonts w:ascii="Arial" w:hAnsi="Arial" w:cs="Arial"/>
          <w:b w:val="0"/>
          <w:sz w:val="20"/>
          <w:szCs w:val="20"/>
        </w:rPr>
        <w:t>On 10 May 2024 at 2:21 pm the Appellant wrote to PayrollMetroSouth and Ms Grant. [¶ 191]</w:t>
      </w:r>
    </w:p>
    <w:p>
      <w:pPr>
        <w:spacing w:before="0" w:after="100" w:line="264" w:lineRule="auto"/>
      </w:pPr>
      <w:r>
        <w:rPr>
          <w:rFonts w:ascii="Arial" w:hAnsi="Arial" w:cs="Arial"/>
          <w:sz w:val="20"/>
          <w:szCs w:val="20"/>
        </w:rPr>
        <w:t>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b/>
          <w:sz w:val="20"/>
          <w:szCs w:val="20"/>
        </w:rPr>
        <w:t xml:space="preserve">2(j) A completed AVAC recorded - context only (15 to 16 May 2024). </w:t>
      </w:r>
      <w:r>
        <w:rPr>
          <w:rFonts w:ascii="Arial" w:hAnsi="Arial" w:cs="Arial"/>
          <w:b w:val="0"/>
          <w:sz w:val="20"/>
          <w:szCs w:val="20"/>
        </w:rPr>
        <w:t>The myHR submissions report records a claim with process number 16328886 submitted on 15 May 2024 and completed the next day. [¶ 202]</w:t>
      </w:r>
    </w:p>
    <w:p>
      <w:pPr>
        <w:spacing w:before="0" w:after="100" w:line="264" w:lineRule="auto"/>
      </w:pPr>
      <w:r>
        <w:rPr>
          <w:rFonts w:ascii="Arial" w:hAnsi="Arial" w:cs="Arial"/>
          <w:b/>
          <w:sz w:val="20"/>
          <w:szCs w:val="20"/>
        </w:rPr>
        <w:t xml:space="preserve">2(k) HR follow-up about rostering (20 May 2024). </w:t>
      </w:r>
      <w:r>
        <w:rPr>
          <w:rFonts w:ascii="Arial" w:hAnsi="Arial" w:cs="Arial"/>
          <w:b w:val="0"/>
          <w:sz w:val="20"/>
          <w:szCs w:val="20"/>
        </w:rPr>
        <w:t>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2(l) Manager awaited Payroll confirmation (21 May 2024). </w:t>
      </w:r>
      <w:r>
        <w:rPr>
          <w:rFonts w:ascii="Arial" w:hAnsi="Arial" w:cs="Arial"/>
          <w:b w:val="0"/>
          <w:sz w:val="20"/>
          <w:szCs w:val="20"/>
        </w:rPr>
        <w:t>On 21 May 2024 at 12:33 pm the Manager wrote that she was "still I am waiting payroll confirmation". [¶¶ 194 to 195]</w:t>
      </w:r>
    </w:p>
    <w:p>
      <w:pPr>
        <w:spacing w:before="0" w:after="100" w:line="264" w:lineRule="auto"/>
      </w:pPr>
      <w:r>
        <w:rPr>
          <w:rFonts w:ascii="Arial" w:hAnsi="Arial" w:cs="Arial"/>
          <w:b/>
          <w:sz w:val="20"/>
          <w:szCs w:val="20"/>
        </w:rPr>
        <w:t xml:space="preserve">2(m) Validation request and partly completed AVAC (28 to 30 May 2024). </w:t>
      </w:r>
      <w:r>
        <w:rPr>
          <w:rFonts w:ascii="Arial" w:hAnsi="Arial" w:cs="Arial"/>
          <w:b w:val="0"/>
          <w:sz w:val="20"/>
          <w:szCs w:val="20"/>
        </w:rPr>
        <w:t>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sz w:val="20"/>
          <w:szCs w:val="20"/>
        </w:rPr>
        <w:t>The myHR submissions report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The myHR report records the process numbers and submission dates in the period, and those process numbers increase as submission dates increase. [¶¶ 205 to 206]</w:t>
      </w:r>
    </w:p>
    <w:p>
      <w:pPr>
        <w:spacing w:before="0" w:after="100" w:line="264" w:lineRule="auto"/>
      </w:pPr>
      <w:r>
        <w:rPr>
          <w:rFonts w:ascii="Arial" w:hAnsi="Arial" w:cs="Arial"/>
          <w:b/>
          <w:sz w:val="20"/>
          <w:szCs w:val="20"/>
        </w:rPr>
        <w:t xml:space="preserve">2(n) Three corrections reached a payslip (5 June 2024). </w:t>
      </w:r>
      <w:r>
        <w:rPr>
          <w:rFonts w:ascii="Arial" w:hAnsi="Arial" w:cs="Arial"/>
          <w:b w:val="0"/>
          <w:sz w:val="20"/>
          <w:szCs w:val="20"/>
        </w:rPr>
        <w:t>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b/>
          <w:sz w:val="20"/>
          <w:szCs w:val="20"/>
        </w:rPr>
        <w:t xml:space="preserve">2(o) Later correction of the 9 February shift (30 June to 2 July 2025). </w:t>
      </w:r>
      <w:r>
        <w:rPr>
          <w:rFonts w:ascii="Arial" w:hAnsi="Arial" w:cs="Arial"/>
          <w:b w:val="0"/>
          <w:sz w:val="20"/>
          <w:szCs w:val="20"/>
        </w:rPr>
        <w:t>The shift of 9 February 2024 was not corrected on Payslip 06, pay date 5 June 2024.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keepNext/>
        <w:spacing w:before="0" w:after="100" w:line="264" w:lineRule="auto"/>
      </w:pPr>
      <w:r>
        <w:rPr>
          <w:rFonts w:ascii="Arial" w:hAnsi="Arial" w:cs="Arial"/>
          <w:b/>
          <w:sz w:val="20"/>
          <w:szCs w:val="20"/>
        </w:rPr>
        <w:t>The correction chronology read together</w:t>
      </w:r>
    </w:p>
    <w:p>
      <w:pPr>
        <w:spacing w:before="0" w:after="100" w:line="264" w:lineRule="auto"/>
      </w:pPr>
      <w:r>
        <w:rPr>
          <w:rFonts w:ascii="Arial" w:hAnsi="Arial" w:cs="Arial"/>
          <w:b/>
          <w:sz w:val="20"/>
          <w:szCs w:val="20"/>
        </w:rPr>
        <w:t xml:space="preserve">On 3 May Payroll identified all four fortnights and directed the Manager to submit an AVAC for each. </w:t>
      </w:r>
      <w:r>
        <w:rPr>
          <w:rFonts w:ascii="Arial" w:hAnsi="Arial" w:cs="Arial"/>
          <w:b w:val="0"/>
          <w:sz w:val="20"/>
          <w:szCs w:val="20"/>
        </w:rPr>
        <w:t>[¶¶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b/>
          <w:sz w:val="20"/>
          <w:szCs w:val="20"/>
        </w:rPr>
        <w:t xml:space="preserve">So the pay sequence was this. </w:t>
      </w:r>
      <w:r>
        <w:rPr>
          <w:rFonts w:ascii="Arial" w:hAnsi="Arial" w:cs="Arial"/>
          <w:b w:val="0"/>
          <w:sz w:val="20"/>
          <w:szCs w:val="20"/>
        </w:rPr>
        <w:t>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3(d); no further response to it is alleged between the acknowledgment on 9 April and the substantive reply on 1 May, and it was answered after 23 days [¶¶ 249 to 250].</w:t>
      </w:r>
    </w:p>
    <w:p>
      <w:pPr>
        <w:keepNext/>
        <w:spacing w:before="0" w:after="100" w:line="264" w:lineRule="auto"/>
      </w:pPr>
      <w:r>
        <w:rPr>
          <w:rFonts w:ascii="Arial" w:hAnsi="Arial" w:cs="Arial"/>
          <w:b/>
          <w:sz w:val="20"/>
          <w:szCs w:val="20"/>
        </w:rPr>
        <w:t>The Respondent's pleaded answer and the record</w:t>
      </w:r>
    </w:p>
    <w:p>
      <w:pPr>
        <w:spacing w:before="0" w:after="100" w:line="264" w:lineRule="auto"/>
      </w:pPr>
      <w:r>
        <w:rPr>
          <w:rFonts w:ascii="Arial" w:hAnsi="Arial" w:cs="Arial"/>
          <w:sz w:val="20"/>
          <w:szCs w:val="20"/>
        </w:rPr>
        <w:t>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Neither AVAC PRN 15397775 nor AVAC PRN 15605601 appears in the myHR submissions report. [¶ 210]</w:t>
      </w:r>
    </w:p>
    <w:p>
      <w:pPr>
        <w:spacing w:before="0" w:after="100" w:line="264" w:lineRule="auto"/>
      </w:pPr>
      <w:r>
        <w:rPr>
          <w:rFonts w:ascii="Arial" w:hAnsi="Arial" w:cs="Arial"/>
          <w:sz w:val="20"/>
          <w:szCs w:val="20"/>
        </w:rPr>
        <w:t>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 The employer's letter of 5 June 2026 states that there were no consequential changes to operating procedures over the period requested [¶ 266] and how employee complaints were managed [¶ 267], and the Respondent does not allege any change to the operating procedures of the Switchboard as a consequence of any employee complaint before 30 June 2024 [¶ 272]; those facts are pleaded at Stressors 1, supporting records and 3, supporting fatigue records and are repeated here.</w:t>
      </w:r>
    </w:p>
    <w:p>
      <w:pPr>
        <w:spacing w:before="80" w:after="140" w:line="264" w:lineRule="auto"/>
      </w:pPr>
      <w:r>
        <w:rPr>
          <w:rFonts w:ascii="Arial" w:hAnsi="Arial" w:cs="Arial"/>
          <w:b/>
          <w:sz w:val="20"/>
          <w:szCs w:val="20"/>
        </w:rPr>
        <w:t xml:space="preserve">The medical link - Stressor 2. </w:t>
      </w:r>
      <w:r>
        <w:rPr>
          <w:rFonts w:ascii="Arial" w:hAnsi="Arial" w:cs="Arial"/>
          <w:sz w:val="20"/>
          <w:szCs w:val="20"/>
        </w:rPr>
        <w:t>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pacing w:before="0" w:after="100" w:line="264" w:lineRule="auto"/>
      </w:pPr>
      <w:r>
        <w:rPr>
          <w:rFonts w:ascii="Arial" w:hAnsi="Arial" w:cs="Arial"/>
          <w:b/>
          <w:sz w:val="22"/>
          <w:szCs w:val="22"/>
        </w:rPr>
        <w:t>STRESSOR 3 - THE ROSTER AND FATIGUE</w:t>
      </w:r>
    </w:p>
    <w:p>
      <w:pPr>
        <w:spacing w:before="0" w:after="100" w:line="264" w:lineRule="auto"/>
      </w:pPr>
      <w:r>
        <w:rPr>
          <w:rFonts w:ascii="Arial" w:hAnsi="Arial" w:cs="Arial"/>
          <w:b/>
          <w:sz w:val="20"/>
          <w:szCs w:val="20"/>
        </w:rPr>
        <w:t xml:space="preserve">Scope of Stressor 3. </w:t>
      </w:r>
      <w:r>
        <w:rPr>
          <w:rFonts w:ascii="Arial" w:hAnsi="Arial" w:cs="Arial"/>
          <w:b w:val="0"/>
          <w:sz w:val="20"/>
          <w:szCs w:val="20"/>
        </w:rPr>
        <w:t>The dated particulars below identify the roster, recovery and subsequent handling of fatigue concerns. The 2020 agreement is a matter bearing on the applicable minimum break. Its execution is not pleaded as a separate injuring event. The seven-hour roster is relied on even if the eight-hour agreement applied. The causal particulars are 3(b) to 3(h). Particular 3(a) is pleaded as context, not as a separate cause.</w:t>
      </w:r>
      <w:r>
        <w:rPr>
          <w:rStyle w:val="CommentReference"/>
        </w:rPr>
      </w:r>
    </w:p>
    <w:p>
      <w:pPr>
        <w:spacing w:before="0" w:after="100" w:line="264" w:lineRule="auto"/>
      </w:pPr>
      <w:r>
        <w:rPr>
          <w:rFonts w:ascii="Arial" w:hAnsi="Arial" w:cs="Arial"/>
          <w:b/>
          <w:sz w:val="20"/>
          <w:szCs w:val="20"/>
        </w:rPr>
        <w:t xml:space="preserve">The standard, as admitted. </w:t>
      </w:r>
      <w:r>
        <w:rPr>
          <w:rFonts w:ascii="Arial" w:hAnsi="Arial" w:cs="Arial"/>
          <w:b w:val="0"/>
          <w:sz w:val="20"/>
          <w:szCs w:val="20"/>
        </w:rPr>
        <w:t>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The agreement of 17 June 2020, and its scope. </w:t>
      </w:r>
      <w:r>
        <w:rPr>
          <w:rFonts w:ascii="Arial" w:hAnsi="Arial" w:cs="Arial"/>
          <w:b w:val="0"/>
          <w:sz w:val="20"/>
          <w:szCs w:val="20"/>
        </w:rPr>
        <w:t>On 17 June 2020 the Appellant signed an agreement allowing an 8-hour break between shifts. [¶ 17]</w:t>
      </w:r>
    </w:p>
    <w:p>
      <w:pPr>
        <w:spacing w:before="0" w:after="100" w:line="264" w:lineRule="auto"/>
      </w:pPr>
      <w:r>
        <w:rPr>
          <w:rFonts w:ascii="Arial" w:hAnsi="Arial" w:cs="Arial"/>
          <w:b/>
          <w:sz w:val="20"/>
          <w:szCs w:val="20"/>
        </w:rPr>
        <w:t xml:space="preserve">The change to part-time. </w:t>
      </w:r>
      <w:r>
        <w:rPr>
          <w:rFonts w:ascii="Arial" w:hAnsi="Arial" w:cs="Arial"/>
          <w:b w:val="0"/>
          <w:sz w:val="20"/>
          <w:szCs w:val="20"/>
        </w:rPr>
        <w:t>Since 17 June 2020 there has been a change to the Appellant's employment contract and adjustments in his working hours, as the review decision records the employer confirming.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pPr>
      <w:r>
        <w:rPr>
          <w:rFonts w:ascii="Arial" w:hAnsi="Arial" w:cs="Arial"/>
          <w:b/>
          <w:sz w:val="20"/>
          <w:szCs w:val="20"/>
        </w:rPr>
        <w:t xml:space="preserve">The change to full-time. </w:t>
      </w:r>
      <w:r>
        <w:rPr>
          <w:rFonts w:ascii="Arial" w:hAnsi="Arial" w:cs="Arial"/>
          <w:b w:val="0"/>
          <w:sz w:val="20"/>
          <w:szCs w:val="20"/>
        </w:rPr>
        <w:t>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pPr>
      <w:r>
        <w:rPr>
          <w:rFonts w:ascii="Arial" w:hAnsi="Arial" w:cs="Arial"/>
          <w:b/>
          <w:sz w:val="20"/>
          <w:szCs w:val="20"/>
        </w:rPr>
        <w:t xml:space="preserve">The emails. </w:t>
      </w:r>
      <w:r>
        <w:rPr>
          <w:rFonts w:ascii="Arial" w:hAnsi="Arial" w:cs="Arial"/>
          <w:b w:val="0"/>
          <w:sz w:val="20"/>
          <w:szCs w:val="20"/>
        </w:rPr>
        <w:t>On 1 May 2024 the Manager wrote that the request for fatigue payment for 18 March 2024 would not be processed "due to the existing 8-hour agreement signed by you on 17 June 2020", noting that he was able to terminate the agreement going forward; that email is pleaded at 3(d)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b/>
          <w:sz w:val="20"/>
          <w:szCs w:val="20"/>
        </w:rPr>
        <w:t xml:space="preserve">The Manager and the agreement. </w:t>
      </w:r>
      <w:r>
        <w:rPr>
          <w:rFonts w:ascii="Arial" w:hAnsi="Arial" w:cs="Arial"/>
          <w:b w:val="0"/>
          <w:sz w:val="20"/>
          <w:szCs w:val="20"/>
        </w:rPr>
        <w:t>The review decision records that Ms Sandra Johnstone was the Switchboard Line Manager as at 8 December 2021, that Ms Danielle Cook was the "previous Switchboard Manager", and that "Ms Taylor was subsequently appointed to the Switchboard Manager role". [¶¶ 23 to 24] The Respondent does not allege that Ms Taylor was the Switchboard Manager on 17 June 2020. [¶ 25]</w:t>
      </w:r>
    </w:p>
    <w:p>
      <w:pPr>
        <w:spacing w:before="0" w:after="100" w:line="264" w:lineRule="auto"/>
      </w:pPr>
      <w:r>
        <w:rPr>
          <w:rFonts w:ascii="Arial" w:hAnsi="Arial" w:cs="Arial"/>
          <w:b/>
          <w:sz w:val="20"/>
          <w:szCs w:val="20"/>
        </w:rPr>
        <w:t xml:space="preserve">The rest of the record on the agreement. </w:t>
      </w:r>
      <w:r>
        <w:rPr>
          <w:rFonts w:ascii="Arial" w:hAnsi="Arial" w:cs="Arial"/>
          <w:b w:val="0"/>
          <w:sz w:val="20"/>
          <w:szCs w:val="20"/>
        </w:rPr>
        <w:t>The Respondent does not allege that the agreement was reviewed, re-executed or re-confirmed at any time between 17 June 2020 and 18 March 2024 [¶ 21], or that the Appellant was informed, at any time before 1 May 2024, that it could be terminated by him.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pPr>
      <w:r>
        <w:rPr>
          <w:rFonts w:ascii="Arial" w:hAnsi="Arial" w:cs="Arial"/>
          <w:b/>
          <w:sz w:val="20"/>
          <w:szCs w:val="20"/>
        </w:rPr>
        <w:t xml:space="preserve">The Appellant's contention on the agreement. </w:t>
      </w:r>
      <w:r>
        <w:rPr>
          <w:rFonts w:ascii="Arial" w:hAnsi="Arial" w:cs="Arial"/>
          <w:b w:val="0"/>
          <w:sz w:val="20"/>
          <w:szCs w:val="20"/>
        </w:rPr>
        <w:t>The Appellant disputes the agreement’s application to these shifts and relies on the admitted facts above and the HR account of 7 July 2026. Its application to March 2024 is a contention for determination. Alternatively, even if the agreement applied in March 2024, a seven-hour interval was below eight hours.</w:t>
      </w:r>
    </w:p>
    <w:p>
      <w:pPr>
        <w:spacing w:before="0" w:after="100" w:line="264" w:lineRule="auto"/>
      </w:pPr>
      <w:r>
        <w:rPr>
          <w:rFonts w:ascii="Arial" w:hAnsi="Arial" w:cs="Arial"/>
          <w:sz w:val="20"/>
          <w:szCs w:val="20"/>
        </w:rPr>
        <w:t>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The emergency workload on those shifts. </w:t>
      </w:r>
      <w:r>
        <w:rPr>
          <w:rFonts w:ascii="Arial" w:hAnsi="Arial" w:cs="Arial"/>
          <w:b w:val="0"/>
          <w:sz w:val="20"/>
          <w:szCs w:val="20"/>
        </w:rPr>
        <w:t>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The codes. </w:t>
      </w:r>
      <w:r>
        <w:rPr>
          <w:rFonts w:ascii="Arial" w:hAnsi="Arial" w:cs="Arial"/>
          <w:b w:val="0"/>
          <w:sz w:val="20"/>
          <w:szCs w:val="20"/>
        </w:rPr>
        <w:t>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pPr>
      <w:r>
        <w:rPr>
          <w:rFonts w:ascii="Arial" w:hAnsi="Arial" w:cs="Arial"/>
          <w:b/>
          <w:sz w:val="20"/>
          <w:szCs w:val="20"/>
        </w:rPr>
        <w:t xml:space="preserve">The employer's own fatigue policy. </w:t>
      </w:r>
      <w:r>
        <w:rPr>
          <w:rFonts w:ascii="Arial" w:hAnsi="Arial" w:cs="Arial"/>
          <w:b w:val="0"/>
          <w:sz w:val="20"/>
          <w:szCs w:val="20"/>
        </w:rPr>
        <w:t>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3(a) Earlier roster error and proposed roster - context only (7 August to 4 September 2023). </w:t>
      </w:r>
      <w:r>
        <w:rPr>
          <w:rFonts w:ascii="Arial" w:hAnsi="Arial" w:cs="Arial"/>
          <w:b w:val="0"/>
          <w:sz w:val="20"/>
          <w:szCs w:val="20"/>
        </w:rPr>
        <w:t>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3(b) Consecutive shifts and the seven-hour break (17 to 18 March 2024). </w:t>
      </w:r>
      <w:r>
        <w:rPr>
          <w:rFonts w:ascii="Arial" w:hAnsi="Arial" w:cs="Arial"/>
          <w:b w:val="0"/>
          <w:sz w:val="20"/>
          <w:szCs w:val="20"/>
        </w:rPr>
        <w:t>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2(d). The break was rostered in a function the Respondent admits is critical to patient safety [¶ 289].</w:t>
      </w:r>
    </w:p>
    <w:p>
      <w:pPr>
        <w:spacing w:before="0" w:after="100" w:line="264" w:lineRule="auto"/>
      </w:pPr>
      <w:r>
        <w:rPr>
          <w:rFonts w:ascii="Arial" w:hAnsi="Arial" w:cs="Arial"/>
          <w:sz w:val="20"/>
          <w:szCs w:val="20"/>
        </w:rPr>
        <w:t>The Respondent does not allege that those consecutive shifts arose from a staff-initiated shift swap. [¶ 234] So, on the admitted record: the minimum break was ten hours, or eight by written agreement [¶ 285]; on 7 July 2026 the employer's Human Resources wrote that the 8-hour agreement "is only applied where staff initiated shift swaps have occurred" [¶¶ 224 to 225]; no swap is alleged [¶ 234]; the break was seven hours [¶ 284]; and the review decision found the rostering of the two shifts to be unreasonable management action [¶ 260].</w:t>
      </w:r>
    </w:p>
    <w:p>
      <w:pPr>
        <w:spacing w:before="0" w:after="100" w:line="264" w:lineRule="auto"/>
      </w:pPr>
      <w:r>
        <w:rPr>
          <w:rFonts w:ascii="Arial" w:hAnsi="Arial" w:cs="Arial"/>
          <w:sz w:val="20"/>
          <w:szCs w:val="20"/>
        </w:rPr>
        <w:t>The agreement of 17 June 2020, the Appellant's submission that it "was no longer fit for purpose" after his transition, and the surrounding matters as to it are pleaded under the agreement heading above. [¶¶ 17 to 25]</w:t>
      </w:r>
    </w:p>
    <w:p>
      <w:pPr>
        <w:spacing w:before="0" w:after="100" w:line="264" w:lineRule="auto"/>
      </w:pPr>
      <w:r>
        <w:rPr>
          <w:rFonts w:ascii="Arial" w:hAnsi="Arial" w:cs="Arial"/>
          <w:b/>
          <w:sz w:val="20"/>
          <w:szCs w:val="20"/>
        </w:rPr>
        <w:t xml:space="preserve">The rest recorded between those shifts. </w:t>
      </w:r>
      <w:r>
        <w:rPr>
          <w:rFonts w:ascii="Arial" w:hAnsi="Arial" w:cs="Arial"/>
          <w:b w:val="0"/>
          <w:sz w:val="20"/>
          <w:szCs w:val="20"/>
        </w:rPr>
        <w:t>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So, across the pair of shifts, the Appellant's account is: about sixteen hours of work, on two eight-hour shifts; about four hours of travel, in four drives of about an hour each; and about four hours of sleep, of the four to five hours available.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The codes on the shift of 17 March 2024. </w:t>
      </w:r>
      <w:r>
        <w:rPr>
          <w:rFonts w:ascii="Arial" w:hAnsi="Arial" w:cs="Arial"/>
          <w:b w:val="0"/>
          <w:sz w:val="20"/>
          <w:szCs w:val="20"/>
        </w:rPr>
        <w:t>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The codes on the shift of 18 March 2024. </w:t>
      </w:r>
      <w:r>
        <w:rPr>
          <w:rFonts w:ascii="Arial" w:hAnsi="Arial" w:cs="Arial"/>
          <w:b w:val="0"/>
          <w:sz w:val="20"/>
          <w:szCs w:val="20"/>
        </w:rPr>
        <w:t>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Suites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sz w:val="20"/>
          <w:szCs w:val="20"/>
        </w:rPr>
        <w:t>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pPr>
      <w:r>
        <w:rPr>
          <w:rFonts w:ascii="Arial" w:hAnsi="Arial" w:cs="Arial"/>
          <w:b/>
          <w:sz w:val="20"/>
          <w:szCs w:val="20"/>
        </w:rPr>
        <w:t xml:space="preserve">The ordinary call load, and the Monday. </w:t>
      </w:r>
      <w:r>
        <w:rPr>
          <w:rFonts w:ascii="Arial" w:hAnsi="Arial" w:cs="Arial"/>
          <w:b w:val="0"/>
          <w:sz w:val="20"/>
          <w:szCs w:val="20"/>
        </w:rPr>
        <w:t>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3(c) Sick leave after the consecutive shifts (19 March 2024). </w:t>
      </w:r>
      <w:r>
        <w:rPr>
          <w:rFonts w:ascii="Arial" w:hAnsi="Arial" w:cs="Arial"/>
          <w:b w:val="0"/>
          <w:sz w:val="20"/>
          <w:szCs w:val="20"/>
        </w:rPr>
        <w:t>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b w:val="0"/>
          <w:sz w:val="20"/>
          <w:szCs w:val="20"/>
        </w:rPr>
        <w:t>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fatigue-leave entitlement under clause 18.10 arose from the short break between ordinary shifts. That contention does not itself answer whether the roster or the response to fatigue was reasonable.</w:t>
      </w:r>
    </w:p>
    <w:p>
      <w:pPr>
        <w:spacing w:before="0" w:after="100" w:line="264" w:lineRule="auto"/>
      </w:pPr>
      <w:r>
        <w:rPr>
          <w:rFonts w:ascii="Arial" w:hAnsi="Arial" w:cs="Arial"/>
          <w:b/>
          <w:sz w:val="20"/>
          <w:szCs w:val="20"/>
        </w:rPr>
        <w:t xml:space="preserve">The codes on 19 March 2024, the day of the sick leave. </w:t>
      </w:r>
      <w:r>
        <w:rPr>
          <w:rFonts w:ascii="Arial" w:hAnsi="Arial" w:cs="Arial"/>
          <w:b w:val="0"/>
          <w:sz w:val="20"/>
          <w:szCs w:val="20"/>
        </w:rPr>
        <w:t>Sick leave of 7.60 hours was taken that day. [¶ 235] The register records sixteen entries on 19 March 2024: at 0:17 a MET call to Ward MIU bed 21; at 1:41 a Code Grey in ED Ambi Care; at 9:27 a Paediatric MET call to Ward CIU bed 16; at 10:28 a simulation MET call (adults) to Ward 7C bed 3; at 11:30 a MET call to Ward 2I bed 20; at 11:34 a MET call to the same patient, Ward 2I bed 20, annotated "CALLED VIA SWITRCHBOARD" [sic]; at 12:36 a MET call to Ward 2I bed 12; at 13:42 a MET call to Ward 3DR bed 11; at 16:28 a further MET call to Ward 3DR bed 11, cancelled at 16:29; at 16:48 a Code Grey in the ED mental health lounge; at 17:23 a further MET call to Ward 3DR bed 11; at 17:31 a Code Grey in ED Ambi Care room 2; at 18:45 a MET call to Ward 5B bed 7; at 21:28 a Code Grey in the ED mental health lounge; and at 22:25 a Code Grey at ED QAS triage. Six of those fell between 06:00 and 14:00: a Paediatric MET call, a simulation, and four adult MET calls. Ward 3DR bed 11, the subject of a MET call at 14:38 on the shift of 18 March, was the subject of further MET calls at 13:42, 16:28 and 17:23 on 19 March.</w:t>
      </w:r>
    </w:p>
    <w:p>
      <w:pPr>
        <w:spacing w:before="0" w:after="100" w:line="264" w:lineRule="auto"/>
      </w:pPr>
      <w:r>
        <w:rPr>
          <w:rFonts w:ascii="Arial" w:hAnsi="Arial" w:cs="Arial"/>
          <w:b/>
          <w:sz w:val="20"/>
          <w:szCs w:val="20"/>
        </w:rPr>
        <w:t xml:space="preserve">3(d) Fatigue enquiry and refusal (8 April to 1 May 2024). </w:t>
      </w:r>
      <w:r>
        <w:rPr>
          <w:rFonts w:ascii="Arial" w:hAnsi="Arial" w:cs="Arial"/>
          <w:b w:val="0"/>
          <w:sz w:val="20"/>
          <w:szCs w:val="20"/>
        </w:rPr>
        <w:t>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3(e) Roster line error and proposed alternatives (16 to 26 April 2024). </w:t>
      </w:r>
      <w:r>
        <w:rPr>
          <w:rFonts w:ascii="Arial" w:hAnsi="Arial" w:cs="Arial"/>
          <w:b w:val="0"/>
          <w:sz w:val="20"/>
          <w:szCs w:val="20"/>
        </w:rPr>
        <w:t>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The Respondent does not allege that she got in touch with him about alternative shifts following that meeting. [¶ 213]</w:t>
      </w:r>
    </w:p>
    <w:p>
      <w:pPr>
        <w:spacing w:before="0" w:after="100" w:line="264" w:lineRule="auto"/>
      </w:pPr>
      <w:r>
        <w:rPr>
          <w:rFonts w:ascii="Arial" w:hAnsi="Arial" w:cs="Arial"/>
          <w:b/>
          <w:sz w:val="20"/>
          <w:szCs w:val="20"/>
        </w:rPr>
        <w:t xml:space="preserve">3(f) Fatigue toolkit raised and HR advice awaited (1 to 8 May 2024). </w:t>
      </w:r>
      <w:r>
        <w:rPr>
          <w:rFonts w:ascii="Arial" w:hAnsi="Arial" w:cs="Arial"/>
          <w:b w:val="0"/>
          <w:sz w:val="20"/>
          <w:szCs w:val="20"/>
        </w:rP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The Respondent does not allege that the toolkit was reviewed or that any feedback was provided before 18 June 2024. [¶ 216]</w:t>
      </w:r>
    </w:p>
    <w:p>
      <w:pPr>
        <w:spacing w:before="0" w:after="100" w:line="264" w:lineRule="auto"/>
      </w:pPr>
      <w:r>
        <w:rPr>
          <w:rFonts w:ascii="Arial" w:hAnsi="Arial" w:cs="Arial"/>
          <w:sz w:val="20"/>
          <w:szCs w:val="20"/>
        </w:rPr>
        <w:t>On 8 May 2024 at 9:08 am the Director replied that she was following up with HR for further advice and would get back to him as soon as possible. [¶ 217]</w:t>
      </w:r>
    </w:p>
    <w:p>
      <w:pPr>
        <w:spacing w:before="0" w:after="100" w:line="264" w:lineRule="auto"/>
      </w:pPr>
      <w:r>
        <w:rPr>
          <w:rFonts w:ascii="Arial" w:hAnsi="Arial" w:cs="Arial"/>
          <w:b/>
          <w:sz w:val="20"/>
          <w:szCs w:val="20"/>
        </w:rPr>
        <w:t xml:space="preserve">3(g) Risk rating and roster decision recorded (10 May 2024). </w:t>
      </w:r>
      <w:r>
        <w:rPr>
          <w:rFonts w:ascii="Arial" w:hAnsi="Arial" w:cs="Arial"/>
          <w:b w:val="0"/>
          <w:sz w:val="20"/>
          <w:szCs w:val="20"/>
        </w:rPr>
        <w:t>On 10 May 2024 at 2:08 pm the Director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She stated: "I acknowledge there has been a few rostering errors made by Chloe with regards to Cory's line in past rosters". [¶ 220]</w:t>
      </w:r>
    </w:p>
    <w:p>
      <w:pPr>
        <w:spacing w:before="0" w:after="100" w:line="264" w:lineRule="auto"/>
      </w:pPr>
      <w:r>
        <w:rPr>
          <w:rFonts w:ascii="Arial" w:hAnsi="Arial" w:cs="Arial"/>
          <w:sz w:val="20"/>
          <w:szCs w:val="20"/>
        </w:rP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3(h) HR follow-up with the fatigue guideline (20 May 2024). </w:t>
      </w:r>
      <w:r>
        <w:rPr>
          <w:rFonts w:ascii="Arial" w:hAnsi="Arial" w:cs="Arial"/>
          <w:b w:val="0"/>
          <w:sz w:val="20"/>
          <w:szCs w:val="20"/>
        </w:rPr>
        <w:t>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keepNext/>
        <w:spacing w:before="0" w:after="100" w:line="264" w:lineRule="auto"/>
      </w:pPr>
      <w:r>
        <w:rPr>
          <w:rFonts w:ascii="Arial" w:hAnsi="Arial" w:cs="Arial"/>
          <w:b/>
          <w:sz w:val="20"/>
          <w:szCs w:val="20"/>
        </w:rPr>
        <w:t>Supporting records about the fatigue arrangements</w:t>
      </w:r>
      <w:r>
        <w:rPr>
          <w:rStyle w:val="CommentReference"/>
        </w:rPr>
      </w:r>
    </w:p>
    <w:p>
      <w:pPr>
        <w:spacing w:before="0" w:after="100" w:line="264" w:lineRule="auto"/>
      </w:pPr>
      <w:r>
        <w:rPr>
          <w:rFonts w:ascii="Arial" w:hAnsi="Arial" w:cs="Arial"/>
          <w:b/>
          <w:sz w:val="20"/>
          <w:szCs w:val="20"/>
        </w:rPr>
        <w:t xml:space="preserve">Implementation and records of fatigue risk management. </w:t>
      </w:r>
      <w:r>
        <w:rPr>
          <w:rFonts w:ascii="Arial" w:hAnsi="Arial" w:cs="Arial"/>
          <w:b w:val="0"/>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Where the framework came from. </w:t>
      </w:r>
      <w:r>
        <w:rPr>
          <w:rFonts w:ascii="Arial" w:hAnsi="Arial" w:cs="Arial"/>
          <w:b w:val="0"/>
          <w:sz w:val="20"/>
          <w:szCs w:val="20"/>
        </w:rPr>
        <w:t>The guideline's references list "Queensland Ombudsman (2006). The Neville Report". [p 31, section 12] Queensland Health's Policy on Medical Fatigue Risk Management, which took effect on 1 July 2008, followed that report (Queensland Ombudsman, The Neville Report Update, 2011), and the resource pack of December 2018 and the 2021 guideline that replaced it apply the system to every "worker" of a Hospital and Health Service, including "An employee" [pp 29 to 30, section 10; p 30, section 11]; the Switchboard is where the codes are received and paged. [¶ 8]</w:t>
      </w:r>
    </w:p>
    <w:p>
      <w:pPr>
        <w:keepNext/>
        <w:spacing w:before="0" w:after="100" w:line="264" w:lineRule="auto"/>
      </w:pPr>
      <w:r>
        <w:rPr>
          <w:rFonts w:ascii="Arial" w:hAnsi="Arial" w:cs="Arial"/>
          <w:b/>
          <w:sz w:val="20"/>
          <w:szCs w:val="20"/>
        </w:rPr>
        <w:t>Findings recorded in the decision under appeal</w:t>
      </w:r>
    </w:p>
    <w:p>
      <w:pPr>
        <w:spacing w:before="0" w:after="100" w:line="264" w:lineRule="auto"/>
      </w:pPr>
      <w:r>
        <w:rPr>
          <w:rFonts w:ascii="Arial" w:hAnsi="Arial" w:cs="Arial"/>
          <w:b/>
          <w:sz w:val="20"/>
          <w:szCs w:val="20"/>
        </w:rPr>
        <w:t xml:space="preserve">The findings in the decision under appeal. </w:t>
      </w:r>
      <w:r>
        <w:rPr>
          <w:rFonts w:ascii="Arial" w:hAnsi="Arial" w:cs="Arial"/>
          <w:b w:val="0"/>
          <w:sz w:val="20"/>
          <w:szCs w:val="20"/>
        </w:rPr>
        <w:t>The review decision states: "The break between the shift on 17 March 2024 and 18 March 2024 equated to 7 hours." [¶ 258]</w:t>
      </w:r>
    </w:p>
    <w:p>
      <w:pPr>
        <w:spacing w:before="0" w:after="100" w:line="264" w:lineRule="auto"/>
      </w:pPr>
      <w:r>
        <w:rPr>
          <w:rFonts w:ascii="Arial" w:hAnsi="Arial" w:cs="Arial"/>
          <w:sz w:val="20"/>
          <w:szCs w:val="20"/>
        </w:rPr>
        <w:t>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It states, under the heading "Conclusion", that the Appellant "sustained a personal injury of a psychological nature". [¶ 261]</w:t>
      </w:r>
    </w:p>
    <w:p>
      <w:pPr>
        <w:spacing w:before="0" w:after="100" w:line="264" w:lineRule="auto"/>
      </w:pPr>
      <w:r>
        <w:rPr>
          <w:rFonts w:ascii="Arial" w:hAnsi="Arial" w:cs="Arial"/>
          <w:sz w:val="20"/>
          <w:szCs w:val="20"/>
        </w:rPr>
        <w:t>It states that his injury "arose out of employment, to the extent that it arose out of factors 2, 3 and 4, where employment was a significant contributing factor". [¶ 262]</w:t>
      </w:r>
    </w:p>
    <w:p>
      <w:pPr>
        <w:keepNext/>
        <w:spacing w:before="0" w:after="100" w:line="264" w:lineRule="auto"/>
      </w:pPr>
      <w:r>
        <w:rPr>
          <w:rFonts w:ascii="Arial" w:hAnsi="Arial" w:cs="Arial"/>
          <w:b/>
          <w:sz w:val="20"/>
          <w:szCs w:val="20"/>
        </w:rPr>
        <w:t>The Respondent's pleaded answer and subsequent roster proposal</w:t>
      </w:r>
    </w:p>
    <w:p>
      <w:pPr>
        <w:spacing w:before="0" w:after="100" w:line="264" w:lineRule="auto"/>
      </w:pPr>
      <w:r>
        <w:rPr>
          <w:rFonts w:ascii="Arial" w:hAnsi="Arial" w:cs="Arial"/>
          <w:sz w:val="20"/>
          <w:szCs w:val="20"/>
        </w:rP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The Respondent's pleaded position on the roster. </w:t>
      </w:r>
      <w:r>
        <w:rPr>
          <w:rFonts w:ascii="Arial" w:hAnsi="Arial" w:cs="Arial"/>
          <w:b w:val="0"/>
          <w:sz w:val="20"/>
          <w:szCs w:val="20"/>
        </w:rPr>
        <w:t>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Beyond the agreement and the sick-leave matters at 3(c),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spacing w:before="80" w:after="140" w:line="264" w:lineRule="auto"/>
      </w:pPr>
      <w:r>
        <w:rPr>
          <w:rFonts w:ascii="Arial" w:hAnsi="Arial" w:cs="Arial"/>
          <w:b/>
          <w:sz w:val="20"/>
          <w:szCs w:val="20"/>
        </w:rPr>
        <w:t xml:space="preserve">The medical link - Stressor 3. </w:t>
      </w:r>
      <w:r>
        <w:rPr>
          <w:rFonts w:ascii="Arial" w:hAnsi="Arial" w:cs="Arial"/>
          <w:sz w:val="20"/>
          <w:szCs w:val="20"/>
        </w:rP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spacing w:before="80" w:after="140" w:line="264" w:lineRule="auto"/>
      </w:pPr>
      <w:r>
        <w:rPr>
          <w:rFonts w:ascii="Arial" w:hAnsi="Arial" w:cs="Arial"/>
          <w:b/>
          <w:sz w:val="20"/>
          <w:szCs w:val="20"/>
        </w:rPr>
        <w:t xml:space="preserve">The medical case as a whole. </w:t>
      </w:r>
      <w:r>
        <w:rPr>
          <w:rFonts w:ascii="Arial" w:hAnsi="Arial" w:cs="Arial"/>
          <w:sz w:val="20"/>
          <w:szCs w:val="20"/>
        </w:rPr>
        <w:t>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3. What happened after the injury, and the record made at the time</w:t>
      </w:r>
    </w:p>
    <w:p>
      <w:pPr>
        <w:spacing w:before="0" w:after="100" w:line="264" w:lineRule="auto"/>
      </w:pPr>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following certificates of no functional capacity from 1 July to 6 October 2024;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r>
        <w:rPr>
          <w:rStyle w:val="CommentReference"/>
        </w:rPr>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b w:val="0"/>
          <w:sz w:val="20"/>
          <w:szCs w:val="20"/>
        </w:rPr>
        <w:t>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Stressors 1(f), 1(g) and 1(h)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The Respondent's amended statement of facts and contentions states at paragraph 11 that it does not admit the allegations in Stressor 1(a) of the Appellant's Amended Statement of 7 April 2026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4. The intervals</w:t>
      </w:r>
    </w:p>
    <w:p>
      <w:pPr>
        <w:spacing w:before="0" w:after="100" w:line="264" w:lineRule="auto"/>
      </w:pPr>
      <w:r>
        <w:rPr>
          <w:rFonts w:ascii="Arial" w:hAnsi="Arial" w:cs="Arial"/>
          <w:b/>
          <w:sz w:val="20"/>
          <w:szCs w:val="20"/>
        </w:rPr>
        <w:t xml:space="preserve">The intervals below are worked out from admitted dates and times or from the specifically identified Payroll disclosure. </w:t>
      </w:r>
      <w:r>
        <w:rPr>
          <w:rFonts w:ascii="Arial" w:hAnsi="Arial" w:cs="Arial"/>
          <w:b w:val="0"/>
          <w:sz w:val="20"/>
          <w:szCs w:val="20"/>
        </w:rPr>
        <w:t>They are arithmetic only. They do not depend on whether any statement in a document is true. Each is pleaded in its place in Part B.2; this table collects them.</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722"/>
        <w:gridCol w:w="1927"/>
        <w:gridCol w:w="1638"/>
        <w:gridCol w:w="1349"/>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Interval</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Length</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Where pleaded</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Facts</w:t>
            </w:r>
          </w:p>
        </w:tc>
      </w:tr>
      <w:tr>
        <w:trPr/>
        <w:tc>
          <w:tcPr>
            <w:tcMar>
              <w:top w:w="65" w:type="dxa"/>
              <w:left w:w="80" w:type="dxa"/>
              <w:bottom w:w="65" w:type="dxa"/>
              <w:right w:w="80" w:type="dxa"/>
            </w:tcMar>
          </w:tcPr>
          <w:p>
            <w:r>
              <w:rPr>
                <w:rFonts w:ascii="Arial" w:hAnsi="Arial"/>
                <w:color w:val="000000"/>
                <w:sz w:val="18"/>
              </w:rPr>
              <w:t>Rostered finish on 17 March 2024 at 23:00 to rostered start on 18 March 2024 at 06:00. The Appellant relies on the ten-hour minimum or, alternatively, eight hours if the agreement applied; the travel account is separately identified.</w:t>
            </w:r>
          </w:p>
        </w:tc>
        <w:tc>
          <w:tcPr>
            <w:tcMar>
              <w:top w:w="65" w:type="dxa"/>
              <w:left w:w="80" w:type="dxa"/>
              <w:bottom w:w="65" w:type="dxa"/>
              <w:right w:w="80" w:type="dxa"/>
            </w:tcMar>
          </w:tcPr>
          <w:p>
            <w:pPr>
              <w:spacing w:after="0"/>
            </w:pPr>
            <w:r>
              <w:rPr>
                <w:rFonts w:ascii="Arial" w:hAnsi="Arial" w:cs="Arial"/>
                <w:color w:val="000000"/>
                <w:sz w:val="17"/>
                <w:szCs w:val="17"/>
              </w:rPr>
              <w:t xml:space="preserve">7 hours</w:t>
            </w:r>
          </w:p>
        </w:tc>
        <w:tc>
          <w:tcPr>
            <w:tcMar>
              <w:top w:w="65" w:type="dxa"/>
              <w:left w:w="80" w:type="dxa"/>
              <w:bottom w:w="65" w:type="dxa"/>
              <w:right w:w="80" w:type="dxa"/>
            </w:tcMar>
          </w:tcPr>
          <w:p>
            <w:r>
              <w:rPr>
                <w:rFonts w:ascii="Arial" w:hAnsi="Arial"/>
                <w:color w:val="000000"/>
                <w:sz w:val="18"/>
              </w:rPr>
              <w:t>3(b); Stressor 3 minimum-break and review-decision paragraphs</w:t>
            </w:r>
          </w:p>
        </w:tc>
        <w:tc>
          <w:tcPr>
            <w:tcMar>
              <w:top w:w="65" w:type="dxa"/>
              <w:left w:w="80" w:type="dxa"/>
              <w:bottom w:w="65" w:type="dxa"/>
              <w:right w:w="80" w:type="dxa"/>
            </w:tcMar>
          </w:tcPr>
          <w:p>
            <w:pPr>
              <w:spacing w:after="0"/>
            </w:pPr>
            <w:r>
              <w:rPr>
                <w:rFonts w:ascii="Arial" w:hAnsi="Arial" w:cs="Arial"/>
                <w:color w:val="000000"/>
                <w:sz w:val="17"/>
                <w:szCs w:val="17"/>
              </w:rPr>
              <w:t xml:space="preserve">¶¶ 284 to 285, 225, 234, 251, 260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MASPER Registrar's first report, 3 May 2024 at 3:06 pm, to the first reply, 9 May 2024 at 9:20 am (her second report was sent on the fifth calendar day; the reply on the sixth)</w:t>
            </w:r>
          </w:p>
        </w:tc>
        <w:tc>
          <w:tcPr>
            <w:tcMar>
              <w:top w:w="65" w:type="dxa"/>
              <w:left w:w="80" w:type="dxa"/>
              <w:bottom w:w="65" w:type="dxa"/>
              <w:right w:w="80" w:type="dxa"/>
            </w:tcMar>
          </w:tcPr>
          <w:p>
            <w:pPr>
              <w:spacing w:after="0"/>
            </w:pPr>
            <w:r>
              <w:rPr>
                <w:rFonts w:ascii="Arial" w:hAnsi="Arial" w:cs="Arial"/>
                <w:color w:val="000000"/>
                <w:sz w:val="17"/>
                <w:szCs w:val="17"/>
              </w:rPr>
              <w:t xml:space="preserve">5 days, 18 hours, 14 minutes</w:t>
            </w:r>
          </w:p>
        </w:tc>
        <w:tc>
          <w:tcPr>
            <w:tcMar>
              <w:top w:w="65" w:type="dxa"/>
              <w:left w:w="80" w:type="dxa"/>
              <w:bottom w:w="65" w:type="dxa"/>
              <w:right w:w="80" w:type="dxa"/>
            </w:tcMar>
          </w:tcPr>
          <w:p>
            <w:r>
              <w:rPr>
                <w:rFonts w:ascii="Arial" w:hAnsi="Arial"/>
                <w:color w:val="000000"/>
                <w:sz w:val="18"/>
              </w:rPr>
              <w:t>1(h)</w:t>
            </w:r>
          </w:p>
        </w:tc>
        <w:tc>
          <w:tcPr>
            <w:tcMar>
              <w:top w:w="65" w:type="dxa"/>
              <w:left w:w="80" w:type="dxa"/>
              <w:bottom w:w="65" w:type="dxa"/>
              <w:right w:w="80" w:type="dxa"/>
            </w:tcMar>
          </w:tcPr>
          <w:p>
            <w:pPr>
              <w:spacing w:after="0"/>
            </w:pPr>
            <w:r>
              <w:rPr>
                <w:rFonts w:ascii="Arial" w:hAnsi="Arial" w:cs="Arial"/>
                <w:color w:val="000000"/>
                <w:sz w:val="17"/>
                <w:szCs w:val="17"/>
              </w:rPr>
              <w:t xml:space="preserve">¶¶ 62 to 64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Integrated Respiratory Service's first email, 15 May 2024 at 11:47 am, to its second, 20 May 2024 at 11:03 am</w:t>
            </w:r>
          </w:p>
        </w:tc>
        <w:tc>
          <w:tcPr>
            <w:tcMar>
              <w:top w:w="65" w:type="dxa"/>
              <w:left w:w="80" w:type="dxa"/>
              <w:bottom w:w="65" w:type="dxa"/>
              <w:right w:w="80" w:type="dxa"/>
            </w:tcMar>
          </w:tcPr>
          <w:p>
            <w:pPr>
              <w:spacing w:after="0"/>
            </w:pPr>
            <w:r>
              <w:rPr>
                <w:rFonts w:ascii="Arial" w:hAnsi="Arial" w:cs="Arial"/>
                <w:color w:val="000000"/>
                <w:sz w:val="17"/>
                <w:szCs w:val="17"/>
              </w:rPr>
              <w:t xml:space="preserve">the fifth calendar day</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92</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first email to the Appellant's escalation, 20 May 2024 at 2:05 pm</w:t>
            </w:r>
          </w:p>
        </w:tc>
        <w:tc>
          <w:tcPr>
            <w:tcMar>
              <w:top w:w="65" w:type="dxa"/>
              <w:left w:w="80" w:type="dxa"/>
              <w:bottom w:w="65" w:type="dxa"/>
              <w:right w:w="80" w:type="dxa"/>
            </w:tcMar>
          </w:tcPr>
          <w:p>
            <w:pPr>
              <w:spacing w:after="0"/>
            </w:pPr>
            <w:r>
              <w:rPr>
                <w:rFonts w:ascii="Arial" w:hAnsi="Arial" w:cs="Arial"/>
                <w:color w:val="000000"/>
                <w:sz w:val="17"/>
                <w:szCs w:val="17"/>
              </w:rPr>
              <w:t xml:space="preserve">5 days, 2 hours, 18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 to 98</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Service's second email to that escalation</w:t>
            </w:r>
          </w:p>
        </w:tc>
        <w:tc>
          <w:tcPr>
            <w:tcMar>
              <w:top w:w="65" w:type="dxa"/>
              <w:left w:w="80" w:type="dxa"/>
              <w:bottom w:w="65" w:type="dxa"/>
              <w:right w:w="80" w:type="dxa"/>
            </w:tcMar>
          </w:tcPr>
          <w:p>
            <w:pPr>
              <w:spacing w:after="0"/>
            </w:pPr>
            <w:r>
              <w:rPr>
                <w:rFonts w:ascii="Arial" w:hAnsi="Arial" w:cs="Arial"/>
                <w:color w:val="000000"/>
                <w:sz w:val="17"/>
                <w:szCs w:val="17"/>
              </w:rPr>
              <w:t xml:space="preserve">3 hours, 2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escalation to the reply at 4:30 pm, two hours after the office hours stated to all Switchboard staff on 17 May 2024 had ended</w:t>
            </w:r>
          </w:p>
        </w:tc>
        <w:tc>
          <w:tcPr>
            <w:tcMar>
              <w:top w:w="65" w:type="dxa"/>
              <w:left w:w="80" w:type="dxa"/>
              <w:bottom w:w="65" w:type="dxa"/>
              <w:right w:w="80" w:type="dxa"/>
            </w:tcMar>
          </w:tcPr>
          <w:p>
            <w:pPr>
              <w:spacing w:after="0"/>
            </w:pPr>
            <w:r>
              <w:rPr>
                <w:rFonts w:ascii="Arial" w:hAnsi="Arial" w:cs="Arial"/>
                <w:color w:val="000000"/>
                <w:sz w:val="17"/>
                <w:szCs w:val="17"/>
              </w:rPr>
              <w:t xml:space="preserve">2 hours, 25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102 to 103</w:t>
            </w:r>
          </w:p>
        </w:tc>
      </w:tr>
      <w:tr>
        <w:trPr/>
        <w:tc>
          <w:tcPr>
            <w:tcMar>
              <w:top w:w="65" w:type="dxa"/>
              <w:left w:w="80" w:type="dxa"/>
              <w:bottom w:w="65" w:type="dxa"/>
              <w:right w:w="80" w:type="dxa"/>
            </w:tcMar>
          </w:tcPr>
          <w:p>
            <w:r>
              <w:rPr>
                <w:rFonts w:ascii="Arial" w:hAnsi="Arial"/>
                <w:color w:val="000000"/>
                <w:sz w:val="18"/>
              </w:rPr>
              <w:t>Fatigue enquiry of 8 April 2024 to the substantive response of 1 May 2024; acknowledged on 9 April, with no further response alleged before 1 May</w:t>
            </w:r>
          </w:p>
        </w:tc>
        <w:tc>
          <w:tcPr>
            <w:tcMar>
              <w:top w:w="65" w:type="dxa"/>
              <w:left w:w="80" w:type="dxa"/>
              <w:bottom w:w="65" w:type="dxa"/>
              <w:right w:w="80" w:type="dxa"/>
            </w:tcMar>
          </w:tcPr>
          <w:p>
            <w:pPr>
              <w:spacing w:after="0"/>
            </w:pPr>
            <w:r>
              <w:rPr>
                <w:rFonts w:ascii="Arial" w:hAnsi="Arial" w:cs="Arial"/>
                <w:color w:val="000000"/>
                <w:sz w:val="17"/>
                <w:szCs w:val="17"/>
              </w:rPr>
              <w:t xml:space="preserve">23 days</w:t>
            </w:r>
          </w:p>
        </w:tc>
        <w:tc>
          <w:tcPr>
            <w:tcMar>
              <w:top w:w="65" w:type="dxa"/>
              <w:left w:w="80" w:type="dxa"/>
              <w:bottom w:w="65" w:type="dxa"/>
              <w:right w:w="80" w:type="dxa"/>
            </w:tcMar>
          </w:tcPr>
          <w:p>
            <w:r>
              <w:rPr>
                <w:rFonts w:ascii="Arial" w:hAnsi="Arial"/>
                <w:color w:val="000000"/>
                <w:sz w:val="18"/>
              </w:rPr>
              <w:t>3(d)</w:t>
            </w:r>
          </w:p>
        </w:tc>
        <w:tc>
          <w:tcPr>
            <w:tcMar>
              <w:top w:w="65" w:type="dxa"/>
              <w:left w:w="80" w:type="dxa"/>
              <w:bottom w:w="65" w:type="dxa"/>
              <w:right w:w="80" w:type="dxa"/>
            </w:tcMar>
          </w:tcPr>
          <w:p>
            <w:pPr>
              <w:spacing w:after="0"/>
            </w:pPr>
            <w:r>
              <w:rPr>
                <w:rFonts w:ascii="Arial" w:hAnsi="Arial" w:cs="Arial"/>
                <w:color w:val="000000"/>
                <w:sz w:val="17"/>
                <w:szCs w:val="17"/>
              </w:rPr>
              <w:t xml:space="preserve">¶¶ 249 to 250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Third submission of the special pandemic leave request, 29 February 2024 at 11:07:28, to its approval at 11:21:03</w:t>
            </w:r>
          </w:p>
        </w:tc>
        <w:tc>
          <w:tcPr>
            <w:tcMar>
              <w:top w:w="65" w:type="dxa"/>
              <w:left w:w="80" w:type="dxa"/>
              <w:bottom w:w="65" w:type="dxa"/>
              <w:right w:w="80" w:type="dxa"/>
            </w:tcMar>
          </w:tcPr>
          <w:p>
            <w:pPr>
              <w:spacing w:after="0"/>
            </w:pPr>
            <w:r>
              <w:rPr>
                <w:rFonts w:ascii="Arial" w:hAnsi="Arial" w:cs="Arial"/>
                <w:color w:val="000000"/>
                <w:sz w:val="17"/>
                <w:szCs w:val="17"/>
              </w:rPr>
              <w:t xml:space="preserve">13 minutes, 35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Creation of the draft, 20 February 2024, to final approval, 1 March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 4 hours, 40 minutes, 20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Removal of database access, 18 July 2023, to 18 June 2024; no restoration alleged</w:t>
            </w:r>
          </w:p>
        </w:tc>
        <w:tc>
          <w:tcPr>
            <w:tcMar>
              <w:top w:w="65" w:type="dxa"/>
              <w:left w:w="80" w:type="dxa"/>
              <w:bottom w:w="65" w:type="dxa"/>
              <w:right w:w="80" w:type="dxa"/>
            </w:tcMar>
          </w:tcPr>
          <w:p>
            <w:pPr>
              <w:spacing w:after="0"/>
            </w:pPr>
            <w:r>
              <w:rPr>
                <w:rFonts w:ascii="Arial" w:hAnsi="Arial" w:cs="Arial"/>
                <w:color w:val="000000"/>
                <w:sz w:val="17"/>
                <w:szCs w:val="17"/>
              </w:rPr>
              <w:t xml:space="preserve">11 months</w:t>
            </w:r>
          </w:p>
        </w:tc>
        <w:tc>
          <w:tcPr>
            <w:tcMar>
              <w:top w:w="65" w:type="dxa"/>
              <w:left w:w="80" w:type="dxa"/>
              <w:bottom w:w="65" w:type="dxa"/>
              <w:right w:w="80" w:type="dxa"/>
            </w:tcMar>
          </w:tcPr>
          <w:p>
            <w:r>
              <w:rPr>
                <w:rFonts w:ascii="Arial" w:hAnsi="Arial"/>
                <w:color w:val="000000"/>
                <w:sz w:val="18"/>
              </w:rPr>
              <w:t>1(b)</w:t>
            </w:r>
          </w:p>
        </w:tc>
        <w:tc>
          <w:tcPr>
            <w:tcMar>
              <w:top w:w="65" w:type="dxa"/>
              <w:left w:w="80" w:type="dxa"/>
              <w:bottom w:w="65" w:type="dxa"/>
              <w:right w:w="80" w:type="dxa"/>
            </w:tcMar>
          </w:tcPr>
          <w:p>
            <w:pPr>
              <w:spacing w:after="0"/>
            </w:pPr>
            <w:r>
              <w:rPr>
                <w:rFonts w:ascii="Arial" w:hAnsi="Arial" w:cs="Arial"/>
                <w:color w:val="000000"/>
                <w:sz w:val="17"/>
                <w:szCs w:val="17"/>
              </w:rPr>
              <w:t xml:space="preserve">¶ 55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23 August 2023 to 17 May 2024; no fixed office hours alleged to have been stated</w:t>
            </w:r>
          </w:p>
        </w:tc>
        <w:tc>
          <w:tcPr>
            <w:tcMar>
              <w:top w:w="65" w:type="dxa"/>
              <w:left w:w="80" w:type="dxa"/>
              <w:bottom w:w="65" w:type="dxa"/>
              <w:right w:w="80" w:type="dxa"/>
            </w:tcMar>
          </w:tcPr>
          <w:p>
            <w:r>
              <w:rPr>
                <w:rFonts w:ascii="Arial" w:hAnsi="Arial"/>
                <w:color w:val="000000"/>
                <w:sz w:val="18"/>
              </w:rPr>
              <w:t>Approximately 9 months</w:t>
            </w:r>
          </w:p>
        </w:tc>
        <w:tc>
          <w:tcPr>
            <w:tcMar>
              <w:top w:w="65" w:type="dxa"/>
              <w:left w:w="80" w:type="dxa"/>
              <w:bottom w:w="65" w:type="dxa"/>
              <w:right w:w="80" w:type="dxa"/>
            </w:tcMar>
          </w:tcPr>
          <w:p>
            <w:r>
              <w:rPr>
                <w:rFonts w:ascii="Arial" w:hAnsi="Arial"/>
                <w:color w:val="000000"/>
                <w:sz w:val="18"/>
              </w:rPr>
              <w:t>1(d), 1(l)</w:t>
            </w:r>
          </w:p>
        </w:tc>
        <w:tc>
          <w:tcPr>
            <w:tcMar>
              <w:top w:w="65" w:type="dxa"/>
              <w:left w:w="80" w:type="dxa"/>
              <w:bottom w:w="65" w:type="dxa"/>
              <w:right w:w="80" w:type="dxa"/>
            </w:tcMar>
          </w:tcPr>
          <w:p>
            <w:pPr>
              <w:spacing w:after="0"/>
            </w:pPr>
            <w:r>
              <w:rPr>
                <w:rFonts w:ascii="Arial" w:hAnsi="Arial" w:cs="Arial"/>
                <w:color w:val="000000"/>
                <w:sz w:val="17"/>
                <w:szCs w:val="17"/>
              </w:rPr>
              <w:t xml:space="preserve">¶ 73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3 May 2024, to the pay date of the payslip carrying three of the four corrections,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33 days</w:t>
            </w:r>
          </w:p>
        </w:tc>
        <w:tc>
          <w:tcPr>
            <w:tcMar>
              <w:top w:w="65" w:type="dxa"/>
              <w:left w:w="80" w:type="dxa"/>
              <w:bottom w:w="65" w:type="dxa"/>
              <w:right w:w="80" w:type="dxa"/>
            </w:tcMar>
          </w:tcPr>
          <w:p>
            <w:r>
              <w:rPr>
                <w:rFonts w:ascii="Arial" w:hAnsi="Arial"/>
                <w:color w:val="000000"/>
                <w:sz w:val="18"/>
              </w:rPr>
              <w:t>2(n)</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direction to the pay date of the payslip carrying the fourth, 2 July 2025 (amendment dated 30 June 2025)</w:t>
            </w:r>
          </w:p>
        </w:tc>
        <w:tc>
          <w:tcPr>
            <w:tcMar>
              <w:top w:w="65" w:type="dxa"/>
              <w:left w:w="80" w:type="dxa"/>
              <w:bottom w:w="65" w:type="dxa"/>
              <w:right w:w="80" w:type="dxa"/>
            </w:tcMar>
          </w:tcPr>
          <w:p>
            <w:pPr>
              <w:spacing w:after="0"/>
            </w:pPr>
            <w:r>
              <w:rPr>
                <w:rFonts w:ascii="Arial" w:hAnsi="Arial" w:cs="Arial"/>
                <w:color w:val="000000"/>
                <w:sz w:val="17"/>
                <w:szCs w:val="17"/>
              </w:rPr>
              <w:t xml:space="preserve">425 days</w:t>
            </w:r>
          </w:p>
        </w:tc>
        <w:tc>
          <w:tcPr>
            <w:tcMar>
              <w:top w:w="65" w:type="dxa"/>
              <w:left w:w="80" w:type="dxa"/>
              <w:bottom w:w="65" w:type="dxa"/>
              <w:right w:w="80" w:type="dxa"/>
            </w:tcMar>
          </w:tcPr>
          <w:p>
            <w:r>
              <w:rPr>
                <w:rFonts w:ascii="Arial" w:hAnsi="Arial"/>
                <w:color w:val="000000"/>
                <w:sz w:val="18"/>
              </w:rPr>
              <w:t>2(o)</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last shift, 3 June 2024, to the first of those pay dates</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2(n); Part B.1.4</w:t>
            </w:r>
          </w:p>
        </w:tc>
        <w:tc>
          <w:tcPr>
            <w:tcMar>
              <w:top w:w="65" w:type="dxa"/>
              <w:left w:w="80" w:type="dxa"/>
              <w:bottom w:w="65" w:type="dxa"/>
              <w:right w:w="80" w:type="dxa"/>
            </w:tcMar>
          </w:tcPr>
          <w:p>
            <w:pPr>
              <w:spacing w:after="0"/>
            </w:pPr>
            <w:r>
              <w:rPr>
                <w:rFonts w:ascii="Arial" w:hAnsi="Arial" w:cs="Arial"/>
                <w:color w:val="000000"/>
                <w:sz w:val="17"/>
                <w:szCs w:val="17"/>
              </w:rPr>
              <w:t xml:space="preserve">-</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pay enquiry of 8 April 2024 to the reply of 9 April</w:t>
            </w:r>
          </w:p>
        </w:tc>
        <w:tc>
          <w:tcPr>
            <w:tcMar>
              <w:top w:w="65" w:type="dxa"/>
              <w:left w:w="80" w:type="dxa"/>
              <w:bottom w:w="65" w:type="dxa"/>
              <w:right w:w="80" w:type="dxa"/>
            </w:tcMar>
          </w:tcPr>
          <w:p>
            <w:pPr>
              <w:spacing w:after="0"/>
            </w:pPr>
            <w:r>
              <w:rPr>
                <w:rFonts w:ascii="Arial" w:hAnsi="Arial" w:cs="Arial"/>
                <w:color w:val="000000"/>
                <w:sz w:val="17"/>
                <w:szCs w:val="17"/>
              </w:rPr>
              <w:t xml:space="preserve">1 day</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242, 244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reply to the Appellant's follow-up of 24 April 2024</w:t>
            </w:r>
          </w:p>
        </w:tc>
        <w:tc>
          <w:tcPr>
            <w:tcMar>
              <w:top w:w="65" w:type="dxa"/>
              <w:left w:w="80" w:type="dxa"/>
              <w:bottom w:w="65" w:type="dxa"/>
              <w:right w:w="80" w:type="dxa"/>
            </w:tcMar>
          </w:tcPr>
          <w:p>
            <w:pPr>
              <w:spacing w:after="0"/>
            </w:pPr>
            <w:r>
              <w:rPr>
                <w:rFonts w:ascii="Arial" w:hAnsi="Arial" w:cs="Arial"/>
                <w:color w:val="000000"/>
                <w:sz w:val="17"/>
                <w:szCs w:val="17"/>
              </w:rPr>
              <w:t xml:space="preserve">15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244, 246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follow-up to the refusal of 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246, 247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refusal of 1 May 2024 to Payroll's direction of 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2(g), 2(h)</w:t>
            </w:r>
          </w:p>
        </w:tc>
        <w:tc>
          <w:tcPr>
            <w:tcMar>
              <w:top w:w="65" w:type="dxa"/>
              <w:left w:w="80" w:type="dxa"/>
              <w:bottom w:w="65" w:type="dxa"/>
              <w:right w:w="80" w:type="dxa"/>
            </w:tcMar>
          </w:tcPr>
          <w:p>
            <w:pPr>
              <w:spacing w:after="0"/>
            </w:pPr>
            <w:r>
              <w:rPr>
                <w:rFonts w:ascii="Arial" w:hAnsi="Arial" w:cs="Arial"/>
                <w:color w:val="000000"/>
                <w:sz w:val="17"/>
                <w:szCs w:val="17"/>
              </w:rPr>
              <w:t xml:space="preserve">¶¶ 247, 185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Appellant's email to Payroll, 10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Payroll's email that nothing had been corrected, 13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"still waiting" email, 21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18 days</w:t>
            </w:r>
          </w:p>
        </w:tc>
        <w:tc>
          <w:tcPr>
            <w:tcMar>
              <w:top w:w="65" w:type="dxa"/>
              <w:left w:w="80" w:type="dxa"/>
              <w:bottom w:w="65" w:type="dxa"/>
              <w:right w:w="80" w:type="dxa"/>
            </w:tcMar>
          </w:tcPr>
          <w:p>
            <w:r>
              <w:rPr>
                <w:rFonts w:ascii="Arial" w:hAnsi="Arial"/>
                <w:color w:val="000000"/>
                <w:sz w:val="18"/>
              </w:rPr>
              <w:t>2(h), 2(l)</w:t>
            </w:r>
          </w:p>
        </w:tc>
        <w:tc>
          <w:tcPr>
            <w:tcMar>
              <w:top w:w="65" w:type="dxa"/>
              <w:left w:w="80" w:type="dxa"/>
              <w:bottom w:w="65" w:type="dxa"/>
              <w:right w:w="80" w:type="dxa"/>
            </w:tcMar>
          </w:tcPr>
          <w:p>
            <w:pPr>
              <w:spacing w:after="0"/>
            </w:pPr>
            <w:r>
              <w:rPr>
                <w:rFonts w:ascii="Arial" w:hAnsi="Arial" w:cs="Arial"/>
                <w:color w:val="000000"/>
                <w:sz w:val="17"/>
                <w:szCs w:val="17"/>
              </w:rPr>
              <w:t xml:space="preserve">¶¶ 185, 195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AVAC of 28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25 days</w:t>
            </w:r>
          </w:p>
        </w:tc>
        <w:tc>
          <w:tcPr>
            <w:tcMar>
              <w:top w:w="65" w:type="dxa"/>
              <w:left w:w="80" w:type="dxa"/>
              <w:bottom w:w="65" w:type="dxa"/>
              <w:right w:w="80" w:type="dxa"/>
            </w:tcMar>
          </w:tcPr>
          <w:p>
            <w:r>
              <w:rPr>
                <w:rFonts w:ascii="Arial" w:hAnsi="Arial"/>
                <w:color w:val="000000"/>
                <w:sz w:val="18"/>
              </w:rPr>
              <w:t>2(h), 2(m)</w:t>
            </w:r>
          </w:p>
        </w:tc>
        <w:tc>
          <w:tcPr>
            <w:tcMar>
              <w:top w:w="65" w:type="dxa"/>
              <w:left w:w="80" w:type="dxa"/>
              <w:bottom w:w="65" w:type="dxa"/>
              <w:right w:w="80" w:type="dxa"/>
            </w:tcMar>
          </w:tcPr>
          <w:p>
            <w:pPr>
              <w:spacing w:after="0"/>
            </w:pPr>
            <w:r>
              <w:rPr>
                <w:rFonts w:ascii="Arial" w:hAnsi="Arial" w:cs="Arial"/>
                <w:color w:val="000000"/>
                <w:sz w:val="17"/>
                <w:szCs w:val="17"/>
              </w:rPr>
              <w:t xml:space="preserve">¶¶ 185, 197, 209</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AVAC to its processing as "Part Completed", 30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2(m)</w:t>
            </w:r>
          </w:p>
        </w:tc>
        <w:tc>
          <w:tcPr>
            <w:tcMar>
              <w:top w:w="65" w:type="dxa"/>
              <w:left w:w="80" w:type="dxa"/>
              <w:bottom w:w="65" w:type="dxa"/>
              <w:right w:w="80" w:type="dxa"/>
            </w:tcMar>
          </w:tcPr>
          <w:p>
            <w:pPr>
              <w:spacing w:after="0"/>
            </w:pPr>
            <w:r>
              <w:rPr>
                <w:rFonts w:ascii="Arial" w:hAnsi="Arial" w:cs="Arial"/>
                <w:color w:val="000000"/>
                <w:sz w:val="17"/>
                <w:szCs w:val="17"/>
              </w:rPr>
              <w:t xml:space="preserve">¶ 203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shifts of 28 February, 30 March and 1 April 2024 to the payslip that adjusted them, pay date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98 days; 67 days; 65 days</w:t>
            </w:r>
          </w:p>
        </w:tc>
        <w:tc>
          <w:tcPr>
            <w:tcMar>
              <w:top w:w="65" w:type="dxa"/>
              <w:left w:w="80" w:type="dxa"/>
              <w:bottom w:w="65" w:type="dxa"/>
              <w:right w:w="80" w:type="dxa"/>
            </w:tcMar>
          </w:tcPr>
          <w:p>
            <w:r>
              <w:rPr>
                <w:rFonts w:ascii="Arial" w:hAnsi="Arial"/>
                <w:color w:val="000000"/>
                <w:sz w:val="18"/>
              </w:rPr>
              <w:t>2(c), 2(e), 2(f), 2(n)</w:t>
            </w:r>
          </w:p>
        </w:tc>
        <w:tc>
          <w:tcPr>
            <w:tcMar>
              <w:top w:w="65" w:type="dxa"/>
              <w:left w:w="80" w:type="dxa"/>
              <w:bottom w:w="65" w:type="dxa"/>
              <w:right w:w="80" w:type="dxa"/>
            </w:tcMar>
          </w:tcPr>
          <w:p>
            <w:pPr>
              <w:spacing w:after="0"/>
            </w:pPr>
            <w:r>
              <w:rPr>
                <w:rFonts w:ascii="Arial" w:hAnsi="Arial" w:cs="Arial"/>
                <w:color w:val="000000"/>
                <w:sz w:val="17"/>
                <w:szCs w:val="17"/>
              </w:rPr>
              <w:t xml:space="preserve">¶¶ 187 to 189;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 of 9 February 2024 to the payslip carrying its correction, pay date 2 July 2025</w:t>
            </w:r>
          </w:p>
        </w:tc>
        <w:tc>
          <w:tcPr>
            <w:tcMar>
              <w:top w:w="65" w:type="dxa"/>
              <w:left w:w="80" w:type="dxa"/>
              <w:bottom w:w="65" w:type="dxa"/>
              <w:right w:w="80" w:type="dxa"/>
            </w:tcMar>
          </w:tcPr>
          <w:p>
            <w:pPr>
              <w:spacing w:after="0"/>
            </w:pPr>
            <w:r>
              <w:rPr>
                <w:rFonts w:ascii="Arial" w:hAnsi="Arial" w:cs="Arial"/>
                <w:color w:val="000000"/>
                <w:sz w:val="17"/>
                <w:szCs w:val="17"/>
              </w:rPr>
              <w:t xml:space="preserve">509 days</w:t>
            </w:r>
          </w:p>
        </w:tc>
        <w:tc>
          <w:tcPr>
            <w:tcMar>
              <w:top w:w="65" w:type="dxa"/>
              <w:left w:w="80" w:type="dxa"/>
              <w:bottom w:w="65" w:type="dxa"/>
              <w:right w:w="80" w:type="dxa"/>
            </w:tcMar>
          </w:tcPr>
          <w:p>
            <w:r>
              <w:rPr>
                <w:rFonts w:ascii="Arial" w:hAnsi="Arial"/>
                <w:color w:val="000000"/>
                <w:sz w:val="18"/>
              </w:rPr>
              <w:t>2(a), 2(o)</w:t>
            </w:r>
          </w:p>
        </w:tc>
        <w:tc>
          <w:tcPr>
            <w:tcMar>
              <w:top w:w="65" w:type="dxa"/>
              <w:left w:w="80" w:type="dxa"/>
              <w:bottom w:w="65" w:type="dxa"/>
              <w:right w:w="80" w:type="dxa"/>
            </w:tcMar>
          </w:tcPr>
          <w:p>
            <w:pPr>
              <w:spacing w:after="0"/>
            </w:pPr>
            <w:r>
              <w:rPr>
                <w:rFonts w:ascii="Arial" w:hAnsi="Arial" w:cs="Arial"/>
                <w:color w:val="000000"/>
                <w:sz w:val="17"/>
                <w:szCs w:val="17"/>
              </w:rPr>
              <w:t xml:space="preserve">¶¶ 185 to 186;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request for the Manager's office hours, 15 May 2024 at 1:15 pm, to the Director's request to retract it, 6:23 pm the same day</w:t>
            </w:r>
          </w:p>
        </w:tc>
        <w:tc>
          <w:tcPr>
            <w:tcMar>
              <w:top w:w="65" w:type="dxa"/>
              <w:left w:w="80" w:type="dxa"/>
              <w:bottom w:w="65" w:type="dxa"/>
              <w:right w:w="80" w:type="dxa"/>
            </w:tcMar>
          </w:tcPr>
          <w:p>
            <w:pPr>
              <w:spacing w:after="0"/>
            </w:pPr>
            <w:r>
              <w:rPr>
                <w:rFonts w:ascii="Arial" w:hAnsi="Arial" w:cs="Arial"/>
                <w:color w:val="000000"/>
                <w:sz w:val="17"/>
                <w:szCs w:val="17"/>
              </w:rPr>
              <w:t xml:space="preserve">5 hours, 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hours being stated to the department, 17 May 2024 at 9:30 am</w:t>
            </w:r>
          </w:p>
        </w:tc>
        <w:tc>
          <w:tcPr>
            <w:tcMar>
              <w:top w:w="65" w:type="dxa"/>
              <w:left w:w="80" w:type="dxa"/>
              <w:bottom w:w="65" w:type="dxa"/>
              <w:right w:w="80" w:type="dxa"/>
            </w:tcMar>
          </w:tcPr>
          <w:p>
            <w:pPr>
              <w:spacing w:after="0"/>
            </w:pPr>
            <w:r>
              <w:rPr>
                <w:rFonts w:ascii="Arial" w:hAnsi="Arial" w:cs="Arial"/>
                <w:color w:val="000000"/>
                <w:sz w:val="17"/>
                <w:szCs w:val="17"/>
              </w:rPr>
              <w:t xml:space="preserve">1 day, 20 hours, 15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81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Director's question about which changes had concerned him, 21 May 2024 at 2:53 pm</w:t>
            </w:r>
          </w:p>
        </w:tc>
        <w:tc>
          <w:tcPr>
            <w:tcMar>
              <w:top w:w="65" w:type="dxa"/>
              <w:left w:w="80" w:type="dxa"/>
              <w:bottom w:w="65" w:type="dxa"/>
              <w:right w:w="80" w:type="dxa"/>
            </w:tcMar>
          </w:tcPr>
          <w:p>
            <w:pPr>
              <w:spacing w:after="0"/>
            </w:pPr>
            <w:r>
              <w:rPr>
                <w:rFonts w:ascii="Arial" w:hAnsi="Arial" w:cs="Arial"/>
                <w:color w:val="000000"/>
                <w:sz w:val="17"/>
                <w:szCs w:val="17"/>
              </w:rPr>
              <w:t xml:space="preserve">6 days, 1 hour, 38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79</w:t>
            </w:r>
          </w:p>
        </w:tc>
      </w:tr>
    </w:tbl>
    <w:p>
      <w:pPr>
        <w:spacing w:after="60"/>
      </w:pPr>
    </w:p>
    <w:p>
      <w:pPr>
        <w:spacing w:before="0" w:after="100" w:line="264" w:lineRule="auto"/>
        <w:ind w:left="284"/>
      </w:pPr>
      <w:r>
        <w:rPr>
          <w:rFonts w:ascii="Arial" w:hAnsi="Arial" w:cs="Arial"/>
          <w:i/>
          <w:sz w:val="18"/>
          <w:szCs w:val="18"/>
        </w:rPr>
        <w:t>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pPr>
      <w:r>
        <w:rPr>
          <w:rFonts w:ascii="Arial" w:hAnsi="Arial" w:cs="Arial"/>
          <w:b/>
          <w:sz w:val="22"/>
          <w:szCs w:val="22"/>
        </w:rPr>
        <w:t>5. Matters the Respondent does not allege, and documents it does not list</w:t>
      </w:r>
    </w:p>
    <w:p>
      <w:pPr>
        <w:spacing w:before="0" w:after="100" w:line="264" w:lineRule="auto"/>
      </w:pPr>
      <w:r>
        <w:rPr>
          <w:rFonts w:ascii="Arial" w:hAnsi="Arial" w:cs="Arial"/>
          <w:sz w:val="20"/>
          <w:szCs w:val="20"/>
        </w:rPr>
        <w:t>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pageBreakBefore/>
        <w:spacing w:before="240" w:after="100" w:line="264" w:lineRule="auto"/>
      </w:pPr>
      <w:r>
        <w:rPr>
          <w:rFonts w:ascii="Arial" w:hAnsi="Arial" w:cs="Arial"/>
          <w:b/>
          <w:sz w:val="24"/>
          <w:szCs w:val="24"/>
        </w:rPr>
        <w:t>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w:t>
      </w:r>
      <w:r>
        <w:rPr>
          <w:rFonts w:ascii="Arial" w:hAnsi="Arial" w:cs="Arial"/>
          <w:b w:val="0"/>
          <w:sz w:val="20"/>
          <w:szCs w:val="20"/>
        </w:rPr>
        <w:t>The admitted record is the factual basis for that assessment. 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1(k);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It is relied on for the continuing effect of the injury only, not as a cause.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The Appellant contends that some of the circumstances in Stressor 1 are conditions in which the work had to be done, not management action. They are: the position stayed responsible for accurate contact and paging information, a function admitted to be critical to patient safety, while operators could not directly amend the database (1(b)); calls, including a MET-call enquiry, were sent to the wrong medical team (1(h)); a clinical service reported that it could not help patients or staff because of a wrong directory entry (1(k)); and operational complaints were, on the employer's own account, handled in the way recorded in its letter of 5 June 2026. The Commission is asked first to decide which circumstances are management action and which are not, and then to apply the exclusion. To the extent those circumstances are not management action and were a significant contributing factor, the injury did not arise out of management action, and section 32(5)(a) does not exclude it (paragraphs 6 and 7 below).</w:t>
      </w:r>
    </w:p>
    <w:p>
      <w:pPr>
        <w:spacing w:before="0" w:after="100" w:line="264" w:lineRule="auto"/>
      </w:pPr>
      <w:r>
        <w:rPr>
          <w:rFonts w:ascii="Arial" w:hAnsi="Arial" w:cs="Arial"/>
          <w:b/>
          <w:sz w:val="20"/>
          <w:szCs w:val="20"/>
        </w:rPr>
        <w:t xml:space="preserve">5. </w:t>
      </w:r>
      <w:r>
        <w:rPr>
          <w:rFonts w:ascii="Arial" w:hAnsi="Arial" w:cs="Arial"/>
          <w:b w:val="0"/>
          <w:sz w:val="20"/>
          <w:szCs w:val="20"/>
        </w:rPr>
        <w:t>Section 32(5)(a) - if management action, whether it was reasonable and taken in a reasonable way. 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when the later decline was made; the fatigue enquiry was escalated to Human Resources and answered after 23 days, with an acknowledgment on 9 April and no further response alleged before 1 May;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w:t>
      </w:r>
      <w:r>
        <w:rPr>
          <w:rFonts w:ascii="Arial" w:hAnsi="Arial" w:cs="Arial"/>
          <w:b w:val="0"/>
          <w:sz w:val="20"/>
          <w:szCs w:val="20"/>
        </w:rPr>
        <w:t>The Respondent's notified evidence is consistent with the admitted record. 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fatigue-leave entitlement under clause 18.10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Those matters are relied on to the extent established by the admissions; silence in an outline is not a further admission.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pPr>
      <w:r>
        <w:rPr>
          <w:rFonts w:ascii="Arial" w:hAnsi="Arial" w:cs="Arial"/>
          <w:b/>
          <w:sz w:val="20"/>
          <w:szCs w:val="20"/>
        </w:rPr>
        <w:t xml:space="preserve">5B. Section 32(5)(b) - the injury did not arise from the Appellant's expectation or perception of management action. </w:t>
      </w:r>
      <w:r>
        <w:rPr>
          <w:rFonts w:ascii="Arial" w:hAnsi="Arial" w:cs="Arial"/>
          <w:sz w:val="20"/>
          <w:szCs w:val="20"/>
        </w:rPr>
        <w:t>The circumstances relied on in Part B.2 are events and documents admitted by the Respondent, and the intervals between them are arithmetic on admitted dates and times. They are not the Appellant's expectation or perception of reasonable management action being taken against him. The Appellant contends that section 32(5)(b) has no application to the injury proved on that record.</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Delaney v Q-COMP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w:t>
      </w:r>
      <w:r>
        <w:rPr>
          <w:rFonts w:ascii="Arial" w:hAnsi="Arial" w:cs="Arial"/>
          <w:b w:val="0"/>
          <w:sz w:val="20"/>
          <w:szCs w:val="20"/>
        </w:rPr>
        <w:t>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 This admission concerns paragraph 27. It does not dispose of the reasonableness contentions pleaded elsewhere in the Respondent’s statement. Those explanations are to be assessed against the dated particulars identified here.</w:t>
      </w:r>
      <w:r>
        <w:rPr>
          <w:rStyle w:val="CommentReference"/>
        </w:rPr>
      </w:r>
    </w:p>
    <w:p>
      <w:pPr>
        <w:spacing w:before="0" w:after="100" w:line="264" w:lineRule="auto"/>
        <w:ind w:left="284"/>
      </w:pPr>
      <w:r>
        <w:rPr>
          <w:rFonts w:ascii="Arial" w:hAnsi="Arial" w:cs="Arial"/>
          <w:i/>
          <w:sz w:val="18"/>
          <w:szCs w:val="18"/>
        </w:rPr>
        <w:t>Particulars: paragraphs 238, 295, 300 to 303 of the notice to admit facts served 28 August 2026, admitted 8 September 2026.</w:t>
      </w:r>
    </w:p>
    <w:p>
      <w:pPr>
        <w:spacing w:before="0" w:after="100" w:line="264" w:lineRule="auto"/>
      </w:pPr>
      <w:r>
        <w:rPr>
          <w:rFonts w:ascii="Arial" w:hAnsi="Arial" w:cs="Arial"/>
          <w:b/>
          <w:sz w:val="20"/>
          <w:szCs w:val="20"/>
        </w:rPr>
        <w:t xml:space="preserve">11. </w:t>
      </w:r>
      <w:r>
        <w:rPr>
          <w:rFonts w:ascii="Arial" w:hAnsi="Arial" w:cs="Arial"/>
          <w:b w:val="0"/>
          <w:sz w:val="20"/>
          <w:szCs w:val="20"/>
        </w:rPr>
        <w:t>The particulars on which the Respondent's notified evidence gives no account. Read with paragraph 5A, the Respondent's outlines of 24 September 2026 give no account of the dated events at Stressor 1(b), 1(f), 1(h) and 1(k), or at Stressor 3(e) to 3(h). As to Stressor 3(b), they describe the seven-hour break as "the result of human error" and, on the advice returned within payroll, "a rostering practice issue for the line manager". As to Stressor 2(b), they describe the second decline as one that "appears to have been made in error". On those particulars the facts are admitted, and the questions are whether each was management action, whether any management action was reasonable and taken in a reasonable way, and whether it contributed to the injury.</w:t>
      </w:r>
    </w:p>
    <w:p>
      <w:pPr>
        <w:keepNext/>
        <w:spacing w:before="240" w:after="100" w:line="264" w:lineRule="auto"/>
      </w:pPr>
      <w:r>
        <w:rPr>
          <w:rFonts w:ascii="Arial" w:hAnsi="Arial" w:cs="Arial"/>
          <w:b/>
          <w:sz w:val="24"/>
          <w:szCs w:val="24"/>
        </w:rPr>
        <w:t>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Does section 32(5)(b) of the Act exclude the injury, that is, did it arise out of, or in the course of, the Appellant's expectation or perception of reasonable management action being taken against him, rather than out of the admitted circumstances themselves?</w:t>
      </w:r>
    </w:p>
    <w:p>
      <w:pPr>
        <w:keepNext/>
        <w:spacing w:before="240" w:after="100" w:line="264" w:lineRule="auto"/>
      </w:pPr>
      <w:r>
        <w:rPr>
          <w:rFonts w:ascii="Arial" w:hAnsi="Arial" w:cs="Arial"/>
          <w:b/>
          <w:sz w:val="24"/>
          <w:szCs w:val="24"/>
        </w:rPr>
        <w:t>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240" w:after="100" w:line="264" w:lineRule="auto"/>
      </w:pPr>
      <w:r>
        <w:rPr>
          <w:rFonts w:ascii="Arial" w:hAnsi="Arial" w:cs="Arial"/>
          <w:b/>
          <w:sz w:val="24"/>
          <w:szCs w:val="24"/>
        </w:rPr>
        <w:t>PART F - COSTS</w:t>
      </w:r>
    </w:p>
    <w:p>
      <w:pPr>
        <w:spacing w:before="0" w:after="100" w:line="264" w:lineRule="auto"/>
      </w:pPr>
      <w:r>
        <w:rPr>
          <w:rFonts w:ascii="Arial" w:hAnsi="Arial" w:cs="Arial"/>
          <w:b/>
          <w:sz w:val="20"/>
          <w:szCs w:val="20"/>
        </w:rPr>
        <w:t xml:space="preserve">1. </w:t>
      </w:r>
      <w:r>
        <w:rPr>
          <w:rFonts w:ascii="Arial" w:hAnsi="Arial" w:cs="Arial"/>
          <w:sz w:val="20"/>
          <w:szCs w:val="20"/>
        </w:rPr>
        <w:t>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The Appellant reserves the right to rely, on the question of costs, on any offer made without prejudice save as to costs.</w:t>
      </w:r>
    </w:p>
    <w:p>
      <w:pPr>
        <w:spacing w:before="0" w:after="100" w:line="264" w:lineRule="auto"/>
      </w:pPr>
      <w:r>
        <w:rPr>
          <w:rFonts w:ascii="Arial" w:hAnsi="Arial" w:cs="Arial"/>
          <w:sz w:val="20"/>
          <w:szCs w:val="20"/>
        </w:rPr>
        <w:t>Dated: 1 October 2026</w:t>
      </w:r>
    </w:p>
    <w:p>
      <w:pPr>
        <w:spacing w:before="120" w:after="80" w:line="264" w:lineRule="auto"/>
      </w:pPr>
      <w:r>
        <w:rPr>
          <w:rFonts w:ascii="Arial" w:hAnsi="Arial" w:cs="Arial"/>
          <w:b/>
          <w:sz w:val="20"/>
          <w:szCs w:val="20"/>
        </w:rPr>
        <w:t>Cory Lea Shepherd</w:t>
      </w:r>
      <w:r>
        <w:br/>
      </w:r>
      <w:r>
        <w:rPr>
          <w:rFonts w:ascii="Arial" w:hAnsi="Arial" w:cs="Arial"/>
          <w:sz w:val="20"/>
          <w:szCs w:val="20"/>
        </w:rPr>
        <w:t>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