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 xml:space="preserve">30 September 2026</w:t>
      </w:r>
    </w:p>
    <w:p>
      <w:pPr>
        <w:spacing w:before="0" w:after="0" w:line="264" w:lineRule="auto"/>
      </w:pPr>
      <w:r>
        <w:rPr>
          <w:rFonts w:ascii="Arial" w:hAnsi="Arial" w:cs="Arial"/>
          <w:sz w:val="19"/>
          <w:szCs w:val="19"/>
        </w:rPr>
        <w:t xml:space="preserve">The Industrial Registrar</w:t>
      </w:r>
    </w:p>
    <w:p>
      <w:pPr>
        <w:spacing w:before="0" w:after="0" w:line="264" w:lineRule="auto"/>
      </w:pPr>
      <w:r>
        <w:rPr>
          <w:rFonts w:ascii="Arial" w:hAnsi="Arial" w:cs="Arial"/>
          <w:sz w:val="19"/>
          <w:szCs w:val="19"/>
        </w:rPr>
        <w:t xml:space="preserve">Queensland Industrial Relations Commission</w:t>
      </w:r>
    </w:p>
    <w:p>
      <w:pPr>
        <w:spacing w:before="0" w:after="0" w:line="264" w:lineRule="auto"/>
      </w:pPr>
      <w:r>
        <w:rPr>
          <w:rFonts w:ascii="Arial" w:hAnsi="Arial" w:cs="Arial"/>
          <w:sz w:val="19"/>
          <w:szCs w:val="19"/>
        </w:rPr>
        <w:t xml:space="preserve">qirc.registry@qirc.qld.gov.au</w:t>
      </w:r>
    </w:p>
    <w:p>
      <w:pPr>
        <w:spacing w:before="0" w:after="0" w:line="264" w:lineRule="auto"/>
      </w:pPr>
      <w:r>
        <w:rPr>
          <w:rFonts w:ascii="Arial" w:hAnsi="Arial" w:cs="Arial"/>
          <w:sz w:val="19"/>
          <w:szCs w:val="19"/>
        </w:rPr>
        <w:t xml:space="preserve">Attention: Chambers of Commissioner Dwyer</w:t>
      </w:r>
    </w:p>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Copy: Ms Renee Matheson, Senior Appeals Officer, Workers' Compensation Regulator (Renee.Matheson@oir.qld.gov.au)</w:t>
      </w:r>
    </w:p>
    <w:p>
      <w:pPr>
        <w:spacing w:before="0" w:after="80" w:line="264" w:lineRule="auto"/>
      </w:pPr>
      <w:r>
        <w:rPr>
          <w:rFonts w:ascii="Arial" w:hAnsi="Arial" w:cs="Arial"/>
          <w:b/>
          <w:sz w:val="19"/>
          <w:szCs w:val="19"/>
        </w:rPr>
        <w:t xml:space="preserve">WC/2024/227 - Cory Lea Shepherd v Workers' Compensation Regulator</w:t>
      </w:r>
    </w:p>
    <w:p>
      <w:pPr>
        <w:spacing w:before="0" w:after="120" w:line="264" w:lineRule="auto"/>
      </w:pPr>
      <w:r>
        <w:rPr>
          <w:rFonts w:ascii="Arial" w:hAnsi="Arial" w:cs="Arial"/>
          <w:b/>
          <w:sz w:val="19"/>
          <w:szCs w:val="19"/>
        </w:rPr>
        <w:t xml:space="preserve">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before="0" w:after="80" w:line="264" w:lineRule="auto"/>
      </w:pPr>
      <w:r>
        <w:rPr>
          <w:rFonts w:ascii="Arial" w:hAnsi="Arial" w:cs="Arial"/>
          <w:b/>
          <w:sz w:val="19"/>
          <w:szCs w:val="19"/>
        </w:rPr>
        <w:t xml:space="preserve">The application, and what the amendment does. </w:t>
      </w:r>
      <w:r>
        <w:rPr>
          <w:rFonts w:ascii="Arial" w:hAnsi="Arial" w:cs="Arial"/>
          <w:sz w:val="19"/>
          <w:szCs w:val="19"/>
        </w:rPr>
        <w:t xml:space="preserve">The Appellant applies for leave to file and serve the enclosed Second Amended Statement of Facts and Contentions (Form 9A), under the Commission's power to give directions (Industrial Relations Act 2016, section 451(2)). A copy goes to the Respondent with this letter, and its consent is sought. The amendment is sought because the matter has become much clearer since the Amended Form 9A of 7 April 2026. The Respondent has admitted 298 of the 303 facts in the Appellant's notice of 28 August 2026. It has admitted, or has since confirmed, 29 of the 39 documents behind them. It served its outlines of evidence on 24 September 2026 and, as at the date of this letter, has notified no medical or expert evidence. The Second Amended Form 9A accepts that the onus of proof is on the Appellant, withdraws the descriptions of conduct used in the earlier pleading, confines each stressor to the admitted facts and the documents that record them, states the contentions and the questions for decision on that footing, and adds no new allegation.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proves, with the paragraph number of the admission against each, so that the whole case can be read in one document. Each stressor is pleaded so that it can be decided on its own; where a fact matters to more than one stressor it is repeated, and the pleading says so. The schedule to this letter lists every document relied on and its status.</w:t>
      </w:r>
    </w:p>
    <w:p>
      <w:pPr>
        <w:spacing w:before="0" w:after="80" w:line="264" w:lineRule="auto"/>
      </w:pPr>
      <w:r>
        <w:rPr>
          <w:rFonts w:ascii="Arial" w:hAnsi="Arial" w:cs="Arial"/>
          <w:b/>
          <w:sz w:val="19"/>
          <w:szCs w:val="19"/>
        </w:rPr>
        <w:t xml:space="preserve">The matter, in summary. </w:t>
      </w:r>
      <w:r>
        <w:rPr>
          <w:rFonts w:ascii="Arial" w:hAnsi="Arial" w:cs="Arial"/>
          <w:sz w:val="19"/>
          <w:szCs w:val="19"/>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the manager's office hours were not stated for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on for section 32(5) (303), and its outlines of evidence served 24 September 2026 notify no medical or expert evidence.</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 xml:space="preserve">The Appellant relies on the admitted facts, the documents in the schedule to this letter, the treating medical records served on 9 September 2026, and the oral evidence of his treating general practitioner and psychiatrist. No medico-legal report is relied on. His list of witnesses filed, and his outlines of evidence served, on 9 September 2026 under directions 1 and 2 are not changed by the amendment.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 xml:space="preserve">The schedule on the following pages states, in Part 1, the status of each of the 39 documents at Annexure A to the notices of 28 August 2026: admitted on 8 September 2026; disputed then and confirmed by the Respondent on 23 September 2026; or disputed and referred by the Respondent to Metro South Hospital and Health Service for copies. Part 2 lists the other documents the pleading relies on. The facts recorded in every disputed document except the register at Tab 31 were admitted on 8 September 2026. The Appellant asks that the Respondent be directed to state, by a date the Commission fixes, whether it disputes the authenticity of each of the ten outstanding documents and on what ground; and that, if it does not, they be received at hearing subject to proof.</w:t>
      </w:r>
    </w:p>
    <w:p>
      <w:pPr>
        <w:spacing w:before="0" w:after="200" w:line="264" w:lineRule="auto"/>
      </w:pPr>
      <w:r>
        <w:rPr>
          <w:rFonts w:ascii="Arial" w:hAnsi="Arial" w:cs="Arial"/>
          <w:sz w:val="19"/>
          <w:szCs w:val="19"/>
        </w:rPr>
        <w:t xml:space="preserve">The Appellant asks that this letter and its enclosure be placed before Commissioner Dwyer and will proceed on the orders made.</w:t>
      </w:r>
    </w:p>
    <w:p>
      <w:pPr>
        <w:spacing w:before="0" w:after="80" w:line="264" w:lineRule="auto"/>
      </w:pPr>
      <w:r>
        <w:rPr>
          <w:rFonts w:ascii="Arial" w:hAnsi="Arial" w:cs="Arial"/>
          <w:b/>
          <w:sz w:val="19"/>
          <w:szCs w:val="19"/>
        </w:rPr>
        <w:t xml:space="preserve">Cory Lea Shepherd, Appellant (self-represented)</w:t>
      </w:r>
    </w:p>
    <w:p>
      <w:r>
        <w:br w:type="page"/>
      </w:r>
    </w:p>
    <w:p>
      <w:pPr>
        <w:keepNext/>
        <w:spacing w:before="0" w:after="120" w:line="264" w:lineRule="auto"/>
      </w:pPr>
      <w:r>
        <w:rPr>
          <w:rFonts w:ascii="Arial" w:hAnsi="Arial" w:cs="Arial"/>
          <w:b/>
          <w:sz w:val="19"/>
          <w:szCs w:val="19"/>
        </w:rPr>
        <w:t xml:space="preserve">Schedule, Part 1: the 39 documents at Annexure A (notices to admit served 28 August 2026) and their status</w:t>
      </w:r>
    </w:p>
    <w:p>
      <w:pPr>
        <w:spacing w:before="0" w:after="100" w:line="264" w:lineRule="auto"/>
      </w:pPr>
      <w:r>
        <w:rPr>
          <w:rFonts w:ascii="Arial" w:hAnsi="Arial" w:cs="Arial"/>
          <w:sz w:val="19"/>
          <w:szCs w:val="19"/>
        </w:rPr>
        <w:t xml:space="preserve">The 39 documents at Annexure A to the notices to admit served 28 August 2026 are the documents from which the facts in Part B of the Second Amended Form 9A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left w:val="single" w:sz="4"/>
          <w:bottom w:val="single" w:sz="4"/>
          <w:right w:val="single" w:sz="4"/>
          <w:insideH w:val="single" w:sz="4"/>
          <w:insideV w:val="single" w:sz="4"/>
        </w:tblBorders>
      </w:tblPr>
      <w:tblGrid>
        <w:gridCol w:w="480"/>
        <w:gridCol w:w="3370"/>
        <w:gridCol w:w="1350"/>
        <w:gridCol w:w="860"/>
        <w:gridCol w:w="1540"/>
        <w:gridCol w:w="2030"/>
      </w:tblGrid>
      <w:tr>
        <w:trPr>
          <w:tblHeader/>
        </w:trPr>
        <w:tc>
          <w:tcPr>
            <w:shd w:val="clear" w:color="auto" w:fill="E9E9E9"/>
          </w:tcPr>
          <w:p>
            <w:pPr>
              <w:spacing w:after="0"/>
            </w:pPr>
            <w:r>
              <w:rPr>
                <w:rFonts w:ascii="Arial" w:hAnsi="Arial" w:cs="Arial"/>
                <w:b/>
                <w:sz w:val="16"/>
                <w:szCs w:val="16"/>
              </w:rPr>
              <w:t xml:space="preserve">Tab</w:t>
            </w:r>
          </w:p>
        </w:tc>
        <w:tc>
          <w:tcPr>
            <w:shd w:val="clear" w:color="auto" w:fill="E9E9E9"/>
          </w:tcPr>
          <w:p>
            <w:pPr>
              <w:spacing w:after="0"/>
            </w:pPr>
            <w:r>
              <w:rPr>
                <w:rFonts w:ascii="Arial" w:hAnsi="Arial" w:cs="Arial"/>
                <w:b/>
                <w:sz w:val="16"/>
                <w:szCs w:val="16"/>
              </w:rPr>
              <w:t xml:space="preserve">Document</w:t>
            </w:r>
          </w:p>
        </w:tc>
        <w:tc>
          <w:tcPr>
            <w:shd w:val="clear" w:color="auto" w:fill="E9E9E9"/>
          </w:tcPr>
          <w:p>
            <w:pPr>
              <w:spacing w:after="0"/>
            </w:pPr>
            <w:r>
              <w:rPr>
                <w:rFonts w:ascii="Arial" w:hAnsi="Arial" w:cs="Arial"/>
                <w:b/>
                <w:sz w:val="16"/>
                <w:szCs w:val="16"/>
              </w:rPr>
              <w:t xml:space="preserve">Date</w:t>
            </w:r>
          </w:p>
        </w:tc>
        <w:tc>
          <w:tcPr>
            <w:shd w:val="clear" w:color="auto" w:fill="E9E9E9"/>
          </w:tcPr>
          <w:p>
            <w:pPr>
              <w:spacing w:after="0"/>
            </w:pPr>
            <w:r>
              <w:rPr>
                <w:rFonts w:ascii="Arial" w:hAnsi="Arial" w:cs="Arial"/>
                <w:b/>
                <w:sz w:val="16"/>
                <w:szCs w:val="16"/>
              </w:rPr>
              <w:t xml:space="preserve">8 Sep 2026</w:t>
            </w:r>
          </w:p>
        </w:tc>
        <w:tc>
          <w:tcPr>
            <w:shd w:val="clear" w:color="auto" w:fill="E9E9E9"/>
          </w:tcPr>
          <w:p>
            <w:pPr>
              <w:spacing w:after="0"/>
            </w:pPr>
            <w:r>
              <w:rPr>
                <w:rFonts w:ascii="Arial" w:hAnsi="Arial" w:cs="Arial"/>
                <w:b/>
                <w:sz w:val="16"/>
                <w:szCs w:val="16"/>
              </w:rPr>
              <w:t xml:space="preserve">23 Sep 2026</w:t>
            </w:r>
          </w:p>
        </w:tc>
        <w:tc>
          <w:tcPr>
            <w:shd w:val="clear" w:color="auto" w:fill="E9E9E9"/>
          </w:tcPr>
          <w:p>
            <w:pPr>
              <w:spacing w:after="0"/>
            </w:pPr>
            <w:r>
              <w:rPr>
                <w:rFonts w:ascii="Arial" w:hAnsi="Arial" w:cs="Arial"/>
                <w:b/>
                <w:sz w:val="16"/>
                <w:szCs w:val="16"/>
              </w:rPr>
              <w:t xml:space="preserve">Position now</w:t>
            </w:r>
          </w:p>
        </w:tc>
      </w:tr>
      <w:tr>
        <w:trPr>
          <w:cantSplit/>
        </w:trPr>
        <w:tc>
          <w:tcPr/>
          <w:p>
            <w:pPr>
              <w:spacing w:after="0"/>
            </w:pPr>
            <w:r>
              <w:rPr>
                <w:rFonts w:ascii="Arial" w:hAnsi="Arial" w:cs="Arial"/>
                <w:sz w:val="16"/>
                <w:szCs w:val="16"/>
              </w:rPr>
              <w:t xml:space="preserve">1A</w:t>
            </w:r>
          </w:p>
        </w:tc>
        <w:tc>
          <w:tcPr/>
          <w:p>
            <w:pPr>
              <w:spacing w:after="0"/>
            </w:pPr>
            <w:r>
              <w:rPr>
                <w:rFonts w:ascii="Arial" w:hAnsi="Arial" w:cs="Arial"/>
                <w:sz w:val="16"/>
                <w:szCs w:val="16"/>
              </w:rPr>
              <w:t xml:space="preserve">Stibbard to the Switchboard team, "Hello &amp; Update"</w:t>
            </w:r>
          </w:p>
        </w:tc>
        <w:tc>
          <w:tcPr/>
          <w:p>
            <w:pPr>
              <w:spacing w:after="0"/>
            </w:pPr>
            <w:r>
              <w:rPr>
                <w:rFonts w:ascii="Arial" w:hAnsi="Arial" w:cs="Arial"/>
                <w:sz w:val="16"/>
                <w:szCs w:val="16"/>
              </w:rPr>
              <w:t xml:space="preserve">18 Jul 2023, 12:56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1B</w:t>
            </w:r>
          </w:p>
        </w:tc>
        <w:tc>
          <w:tcPr/>
          <w:p>
            <w:pPr>
              <w:spacing w:after="0"/>
            </w:pPr>
            <w:r>
              <w:rPr>
                <w:rFonts w:ascii="Arial" w:hAnsi="Arial" w:cs="Arial"/>
                <w:sz w:val="16"/>
                <w:szCs w:val="16"/>
              </w:rPr>
              <w:t xml:space="preserve">Taylor to Reese, "Fwd: Communication Book Update", with her email to Logan Switch of 9:57 am that day</w:t>
            </w:r>
          </w:p>
        </w:tc>
        <w:tc>
          <w:tcPr/>
          <w:p>
            <w:pPr>
              <w:spacing w:after="0"/>
            </w:pPr>
            <w:r>
              <w:rPr>
                <w:rFonts w:ascii="Arial" w:hAnsi="Arial" w:cs="Arial"/>
                <w:sz w:val="16"/>
                <w:szCs w:val="16"/>
              </w:rPr>
              <w:t xml:space="preserve">6 Jun 2023, 4:05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w:t>
            </w:r>
          </w:p>
        </w:tc>
        <w:tc>
          <w:tcPr/>
          <w:p>
            <w:pPr>
              <w:spacing w:after="0"/>
            </w:pPr>
            <w:r>
              <w:rPr>
                <w:rFonts w:ascii="Arial" w:hAnsi="Arial" w:cs="Arial"/>
                <w:sz w:val="16"/>
                <w:szCs w:val="16"/>
              </w:rPr>
              <w:t xml:space="preserve">"Increase of hours and Workplace issues" chain and Reese's replies</w:t>
            </w:r>
          </w:p>
        </w:tc>
        <w:tc>
          <w:tcPr/>
          <w:p>
            <w:pPr>
              <w:spacing w:after="0"/>
            </w:pPr>
            <w:r>
              <w:rPr>
                <w:rFonts w:ascii="Arial" w:hAnsi="Arial" w:cs="Arial"/>
                <w:sz w:val="16"/>
                <w:szCs w:val="16"/>
              </w:rPr>
              <w:t xml:space="preserve">7-10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3</w:t>
            </w:r>
          </w:p>
        </w:tc>
        <w:tc>
          <w:tcPr/>
          <w:p>
            <w:pPr>
              <w:spacing w:after="0"/>
            </w:pPr>
            <w:r>
              <w:rPr>
                <w:rFonts w:ascii="Arial" w:hAnsi="Arial" w:cs="Arial"/>
                <w:sz w:val="16"/>
                <w:szCs w:val="16"/>
              </w:rPr>
              <w:t xml:space="preserve">Reese attaching HR Policy E12; emails of 4 and 8 Sep 2023</w:t>
            </w:r>
          </w:p>
        </w:tc>
        <w:tc>
          <w:tcPr/>
          <w:p>
            <w:pPr>
              <w:spacing w:after="0"/>
            </w:pPr>
            <w:r>
              <w:rPr>
                <w:rFonts w:ascii="Arial" w:hAnsi="Arial" w:cs="Arial"/>
                <w:sz w:val="16"/>
                <w:szCs w:val="16"/>
              </w:rPr>
              <w:t xml:space="preserve">29 Aug-8 Sep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4</w:t>
            </w:r>
          </w:p>
        </w:tc>
        <w:tc>
          <w:tcPr/>
          <w:p>
            <w:pPr>
              <w:spacing w:after="0"/>
            </w:pPr>
            <w:r>
              <w:rPr>
                <w:rFonts w:ascii="Arial" w:hAnsi="Arial" w:cs="Arial"/>
                <w:sz w:val="16"/>
                <w:szCs w:val="16"/>
              </w:rPr>
              <w:t xml:space="preserve">"Request to Increase Working Hours to Full Time Rotational Roster"; emails of 7 Aug 2023 1:43 pm and 5:11 pm</w:t>
            </w:r>
          </w:p>
        </w:tc>
        <w:tc>
          <w:tcPr/>
          <w:p>
            <w:pPr>
              <w:spacing w:after="0"/>
            </w:pPr>
            <w:r>
              <w:rPr>
                <w:rFonts w:ascii="Arial" w:hAnsi="Arial" w:cs="Arial"/>
                <w:sz w:val="16"/>
                <w:szCs w:val="16"/>
              </w:rPr>
              <w:t xml:space="preserve">7 and 31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7</w:t>
            </w:r>
          </w:p>
        </w:tc>
        <w:tc>
          <w:tcPr/>
          <w:p>
            <w:pPr>
              <w:spacing w:after="0"/>
            </w:pPr>
            <w:r>
              <w:rPr>
                <w:rFonts w:ascii="Arial" w:hAnsi="Arial" w:cs="Arial"/>
                <w:sz w:val="16"/>
                <w:szCs w:val="16"/>
              </w:rPr>
              <w:t xml:space="preserve">"Roster Concerns" chain</w:t>
            </w:r>
          </w:p>
        </w:tc>
        <w:tc>
          <w:tcPr/>
          <w:p>
            <w:pPr>
              <w:spacing w:after="0"/>
            </w:pPr>
            <w:r>
              <w:rPr>
                <w:rFonts w:ascii="Arial" w:hAnsi="Arial" w:cs="Arial"/>
                <w:sz w:val="16"/>
                <w:szCs w:val="16"/>
              </w:rPr>
              <w:t xml:space="preserve">26 Apr-8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8</w:t>
            </w:r>
          </w:p>
        </w:tc>
        <w:tc>
          <w:tcPr/>
          <w:p>
            <w:pPr>
              <w:spacing w:after="0"/>
            </w:pPr>
            <w:r>
              <w:rPr>
                <w:rFonts w:ascii="Arial" w:hAnsi="Arial" w:cs="Arial"/>
                <w:sz w:val="16"/>
                <w:szCs w:val="16"/>
              </w:rPr>
              <w:t xml:space="preserve">Reese to Pritchard "FW: Roster Concerns"; Reese to LBH_HR attaching qh-gdl-401-3.3</w:t>
            </w:r>
          </w:p>
        </w:tc>
        <w:tc>
          <w:tcPr/>
          <w:p>
            <w:pPr>
              <w:spacing w:after="0"/>
            </w:pPr>
            <w:r>
              <w:rPr>
                <w:rFonts w:ascii="Arial" w:hAnsi="Arial" w:cs="Arial"/>
                <w:sz w:val="16"/>
                <w:szCs w:val="16"/>
              </w:rPr>
              <w:t xml:space="preserve">10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8A</w:t>
            </w:r>
          </w:p>
        </w:tc>
        <w:tc>
          <w:tcPr/>
          <w:p>
            <w:pPr>
              <w:spacing w:after="0"/>
            </w:pPr>
            <w:r>
              <w:rPr>
                <w:rFonts w:ascii="Arial" w:hAnsi="Arial" w:cs="Arial"/>
                <w:sz w:val="16"/>
                <w:szCs w:val="16"/>
              </w:rPr>
              <w:t xml:space="preserve">Cover page, Fatigue risk management systems implementation guideline QH-GDL-401-3.3:2021</w:t>
            </w:r>
          </w:p>
        </w:tc>
        <w:tc>
          <w:tcPr/>
          <w:p>
            <w:pPr>
              <w:spacing w:after="0"/>
            </w:pPr>
            <w:r>
              <w:rPr>
                <w:rFonts w:ascii="Arial" w:hAnsi="Arial" w:cs="Arial"/>
                <w:sz w:val="16"/>
                <w:szCs w:val="16"/>
              </w:rPr>
              <w:t xml:space="preserve">2021</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8B</w:t>
            </w:r>
          </w:p>
        </w:tc>
        <w:tc>
          <w:tcPr/>
          <w:p>
            <w:pPr>
              <w:spacing w:after="0"/>
            </w:pPr>
            <w:r>
              <w:rPr>
                <w:rFonts w:ascii="Arial" w:hAnsi="Arial" w:cs="Arial"/>
                <w:sz w:val="16"/>
                <w:szCs w:val="16"/>
              </w:rPr>
              <w:t xml:space="preserve">MASPER emails (Taylor to Kwok and Wong; "MASPER process") and issue logs</w:t>
            </w:r>
          </w:p>
        </w:tc>
        <w:tc>
          <w:tcPr/>
          <w:p>
            <w:pPr>
              <w:spacing w:after="0"/>
            </w:pPr>
            <w:r>
              <w:rPr>
                <w:rFonts w:ascii="Arial" w:hAnsi="Arial" w:cs="Arial"/>
                <w:sz w:val="16"/>
                <w:szCs w:val="16"/>
              </w:rPr>
              <w:t xml:space="preserve">9 May 2024 (logs 2-8 May)</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8C</w:t>
            </w:r>
          </w:p>
        </w:tc>
        <w:tc>
          <w:tcPr/>
          <w:p>
            <w:pPr>
              <w:spacing w:after="0"/>
            </w:pPr>
            <w:r>
              <w:rPr>
                <w:rFonts w:ascii="Arial" w:hAnsi="Arial" w:cs="Arial"/>
                <w:sz w:val="16"/>
                <w:szCs w:val="16"/>
              </w:rPr>
              <w:t xml:space="preserve">Stibbard, "Switchboard After Hours On Call Manager PP24"</w:t>
            </w:r>
          </w:p>
        </w:tc>
        <w:tc>
          <w:tcPr/>
          <w:p>
            <w:pPr>
              <w:spacing w:after="0"/>
            </w:pPr>
            <w:r>
              <w:rPr>
                <w:rFonts w:ascii="Arial" w:hAnsi="Arial" w:cs="Arial"/>
                <w:sz w:val="16"/>
                <w:szCs w:val="16"/>
              </w:rPr>
              <w:t xml:space="preserve">13 May 2024, 4:29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9</w:t>
            </w:r>
          </w:p>
        </w:tc>
        <w:tc>
          <w:tcPr/>
          <w:p>
            <w:pPr>
              <w:spacing w:after="0"/>
            </w:pPr>
            <w:r>
              <w:rPr>
                <w:rFonts w:ascii="Arial" w:hAnsi="Arial" w:cs="Arial"/>
                <w:sz w:val="16"/>
                <w:szCs w:val="16"/>
              </w:rPr>
              <w:t xml:space="preserve">Taylor, "Switchboard Manager - On call and Hours."</w:t>
            </w:r>
          </w:p>
        </w:tc>
        <w:tc>
          <w:tcPr/>
          <w:p>
            <w:pPr>
              <w:spacing w:after="0"/>
            </w:pPr>
            <w:r>
              <w:rPr>
                <w:rFonts w:ascii="Arial" w:hAnsi="Arial" w:cs="Arial"/>
                <w:sz w:val="16"/>
                <w:szCs w:val="16"/>
              </w:rPr>
              <w:t xml:space="preserve">17 May 2024, 9:30 am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9A</w:t>
            </w:r>
          </w:p>
        </w:tc>
        <w:tc>
          <w:tcPr/>
          <w:p>
            <w:pPr>
              <w:spacing w:after="0"/>
            </w:pPr>
            <w:r>
              <w:rPr>
                <w:rFonts w:ascii="Arial" w:hAnsi="Arial" w:cs="Arial"/>
                <w:sz w:val="16"/>
                <w:szCs w:val="16"/>
              </w:rPr>
              <w:t xml:space="preserve">"Office Hours and Departmental Directives" chain (1:15 pm, 6:23 pm, 7:09 pm)</w:t>
            </w:r>
          </w:p>
        </w:tc>
        <w:tc>
          <w:tcPr/>
          <w:p>
            <w:pPr>
              <w:spacing w:after="0"/>
            </w:pPr>
            <w:r>
              <w:rPr>
                <w:rFonts w:ascii="Arial" w:hAnsi="Arial" w:cs="Arial"/>
                <w:sz w:val="16"/>
                <w:szCs w:val="16"/>
              </w:rPr>
              <w:t xml:space="preserve">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9B</w:t>
            </w:r>
          </w:p>
        </w:tc>
        <w:tc>
          <w:tcPr/>
          <w:p>
            <w:pPr>
              <w:spacing w:after="0"/>
            </w:pPr>
            <w:r>
              <w:rPr>
                <w:rFonts w:ascii="Arial" w:hAnsi="Arial" w:cs="Arial"/>
                <w:sz w:val="16"/>
                <w:szCs w:val="16"/>
              </w:rPr>
              <w:t xml:space="preserve">Reese, "RE: Office Hours and Departmental Directives"</w:t>
            </w:r>
          </w:p>
        </w:tc>
        <w:tc>
          <w:tcPr/>
          <w:p>
            <w:pPr>
              <w:spacing w:after="0"/>
            </w:pPr>
            <w:r>
              <w:rPr>
                <w:rFonts w:ascii="Arial" w:hAnsi="Arial" w:cs="Arial"/>
                <w:sz w:val="16"/>
                <w:szCs w:val="16"/>
              </w:rPr>
              <w:t xml:space="preserve">21 May 2024, 2:53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10</w:t>
            </w:r>
          </w:p>
        </w:tc>
        <w:tc>
          <w:tcPr/>
          <w:p>
            <w:pPr>
              <w:spacing w:after="0"/>
            </w:pPr>
            <w:r>
              <w:rPr>
                <w:rFonts w:ascii="Arial" w:hAnsi="Arial" w:cs="Arial"/>
                <w:sz w:val="16"/>
                <w:szCs w:val="16"/>
              </w:rPr>
              <w:t xml:space="preserve">Taylor, "Sick leave 14.05.24", and its forwarding to Reese</w:t>
            </w:r>
          </w:p>
        </w:tc>
        <w:tc>
          <w:tcPr/>
          <w:p>
            <w:pPr>
              <w:spacing w:after="0"/>
            </w:pPr>
            <w:r>
              <w:rPr>
                <w:rFonts w:ascii="Arial" w:hAnsi="Arial" w:cs="Arial"/>
                <w:sz w:val="16"/>
                <w:szCs w:val="16"/>
              </w:rPr>
              <w:t xml:space="preserve">14-15 May 2024 (first email 14 May, 12:08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11</w:t>
            </w:r>
          </w:p>
        </w:tc>
        <w:tc>
          <w:tcPr/>
          <w:p>
            <w:pPr>
              <w:spacing w:after="0"/>
            </w:pPr>
            <w:r>
              <w:rPr>
                <w:rFonts w:ascii="Arial" w:hAnsi="Arial" w:cs="Arial"/>
                <w:sz w:val="16"/>
                <w:szCs w:val="16"/>
              </w:rPr>
              <w:t xml:space="preserve">Marriott (Integrated Respiratory Service) to Logan Switch; the Appellant to Taylor; Taylor's reply</w:t>
            </w:r>
          </w:p>
        </w:tc>
        <w:tc>
          <w:tcPr/>
          <w:p>
            <w:pPr>
              <w:spacing w:after="0"/>
            </w:pPr>
            <w:r>
              <w:rPr>
                <w:rFonts w:ascii="Arial" w:hAnsi="Arial" w:cs="Arial"/>
                <w:sz w:val="16"/>
                <w:szCs w:val="16"/>
              </w:rPr>
              <w:t xml:space="preserve">15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12</w:t>
            </w:r>
          </w:p>
        </w:tc>
        <w:tc>
          <w:tcPr/>
          <w:p>
            <w:pPr>
              <w:spacing w:after="0"/>
            </w:pPr>
            <w:r>
              <w:rPr>
                <w:rFonts w:ascii="Arial" w:hAnsi="Arial" w:cs="Arial"/>
                <w:sz w:val="16"/>
                <w:szCs w:val="16"/>
              </w:rPr>
              <w:t xml:space="preserve">"Corey Shepherd 388372 Pay issues" thread</w:t>
            </w:r>
          </w:p>
        </w:tc>
        <w:tc>
          <w:tcPr/>
          <w:p>
            <w:pPr>
              <w:spacing w:after="0"/>
            </w:pPr>
            <w:r>
              <w:rPr>
                <w:rFonts w:ascii="Arial" w:hAnsi="Arial" w:cs="Arial"/>
                <w:sz w:val="16"/>
                <w:szCs w:val="16"/>
              </w:rPr>
              <w:t xml:space="preserve">3-13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13</w:t>
            </w:r>
          </w:p>
        </w:tc>
        <w:tc>
          <w:tcPr/>
          <w:p>
            <w:pPr>
              <w:spacing w:after="0"/>
            </w:pPr>
            <w:r>
              <w:rPr>
                <w:rFonts w:ascii="Arial" w:hAnsi="Arial" w:cs="Arial"/>
                <w:sz w:val="16"/>
                <w:szCs w:val="16"/>
              </w:rPr>
              <w:t xml:space="preserve">Same thread, Taylor to the Appellant</w:t>
            </w:r>
          </w:p>
        </w:tc>
        <w:tc>
          <w:tcPr/>
          <w:p>
            <w:pPr>
              <w:spacing w:after="0"/>
            </w:pPr>
            <w:r>
              <w:rPr>
                <w:rFonts w:ascii="Arial" w:hAnsi="Arial" w:cs="Arial"/>
                <w:sz w:val="16"/>
                <w:szCs w:val="16"/>
              </w:rPr>
              <w:t xml:space="preserve">21 May 2024, 12:33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14</w:t>
            </w:r>
          </w:p>
        </w:tc>
        <w:tc>
          <w:tcPr/>
          <w:p>
            <w:pPr>
              <w:spacing w:after="0"/>
            </w:pPr>
            <w:r>
              <w:rPr>
                <w:rFonts w:ascii="Arial" w:hAnsi="Arial" w:cs="Arial"/>
                <w:sz w:val="16"/>
                <w:szCs w:val="16"/>
              </w:rPr>
              <w:t xml:space="preserve">Taylor, "Validation of Claims older than 3 months - Please sign"</w:t>
            </w:r>
          </w:p>
        </w:tc>
        <w:tc>
          <w:tcPr/>
          <w:p>
            <w:pPr>
              <w:spacing w:after="0"/>
            </w:pPr>
            <w:r>
              <w:rPr>
                <w:rFonts w:ascii="Arial" w:hAnsi="Arial" w:cs="Arial"/>
                <w:sz w:val="16"/>
                <w:szCs w:val="16"/>
              </w:rPr>
              <w:t xml:space="preserve">28 May 2024, 8:36 am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15</w:t>
            </w:r>
          </w:p>
        </w:tc>
        <w:tc>
          <w:tcPr/>
          <w:p>
            <w:pPr>
              <w:spacing w:after="0"/>
            </w:pPr>
            <w:r>
              <w:rPr>
                <w:rFonts w:ascii="Arial" w:hAnsi="Arial" w:cs="Arial"/>
                <w:sz w:val="16"/>
                <w:szCs w:val="16"/>
              </w:rPr>
              <w:t xml:space="preserve">myHR submissions report (MSH Item 11)</w:t>
            </w:r>
          </w:p>
        </w:tc>
        <w:tc>
          <w:tcPr/>
          <w:p>
            <w:pPr>
              <w:spacing w:after="0"/>
            </w:pPr>
            <w:r>
              <w:rPr>
                <w:rFonts w:ascii="Arial" w:hAnsi="Arial" w:cs="Arial"/>
                <w:sz w:val="16"/>
                <w:szCs w:val="16"/>
              </w:rPr>
              <w:t xml:space="preserve">1 Feb-31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16</w:t>
            </w:r>
          </w:p>
        </w:tc>
        <w:tc>
          <w:tcPr/>
          <w:p>
            <w:pPr>
              <w:spacing w:after="0"/>
            </w:pPr>
            <w:r>
              <w:rPr>
                <w:rFonts w:ascii="Arial" w:hAnsi="Arial" w:cs="Arial"/>
                <w:sz w:val="16"/>
                <w:szCs w:val="16"/>
              </w:rPr>
              <w:t xml:space="preserve">QH Leave Takings Report (MSH Item 15)</w:t>
            </w:r>
          </w:p>
        </w:tc>
        <w:tc>
          <w:tcPr/>
          <w:p>
            <w:pPr>
              <w:spacing w:after="0"/>
            </w:pPr>
            <w:r>
              <w:rPr>
                <w:rFonts w:ascii="Arial" w:hAnsi="Arial" w:cs="Arial"/>
                <w:sz w:val="16"/>
                <w:szCs w:val="16"/>
              </w:rPr>
              <w:t xml:space="preserve">19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25</w:t>
            </w:r>
          </w:p>
        </w:tc>
        <w:tc>
          <w:tcPr/>
          <w:p>
            <w:pPr>
              <w:spacing w:after="0"/>
            </w:pPr>
            <w:r>
              <w:rPr>
                <w:rFonts w:ascii="Arial" w:hAnsi="Arial" w:cs="Arial"/>
                <w:sz w:val="16"/>
                <w:szCs w:val="16"/>
              </w:rPr>
              <w:t xml:space="preserve">Review Decision 69983</w:t>
            </w:r>
          </w:p>
        </w:tc>
        <w:tc>
          <w:tcPr/>
          <w:p>
            <w:pPr>
              <w:spacing w:after="0"/>
            </w:pPr>
            <w:r>
              <w:rPr>
                <w:rFonts w:ascii="Arial" w:hAnsi="Arial" w:cs="Arial"/>
                <w:sz w:val="16"/>
                <w:szCs w:val="16"/>
              </w:rPr>
              <w:t xml:space="preserve">24 Oct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26</w:t>
            </w:r>
          </w:p>
        </w:tc>
        <w:tc>
          <w:tcPr/>
          <w:p>
            <w:pPr>
              <w:spacing w:after="0"/>
            </w:pPr>
            <w:r>
              <w:rPr>
                <w:rFonts w:ascii="Arial" w:hAnsi="Arial" w:cs="Arial"/>
                <w:sz w:val="16"/>
                <w:szCs w:val="16"/>
              </w:rPr>
              <w:t xml:space="preserve">Appellant's first notice to admit facts</w:t>
            </w:r>
          </w:p>
        </w:tc>
        <w:tc>
          <w:tcPr/>
          <w:p>
            <w:pPr>
              <w:spacing w:after="0"/>
            </w:pPr>
            <w:r>
              <w:rPr>
                <w:rFonts w:ascii="Arial" w:hAnsi="Arial" w:cs="Arial"/>
                <w:sz w:val="16"/>
                <w:szCs w:val="16"/>
              </w:rPr>
              <w:t xml:space="preserve">before 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27</w:t>
            </w:r>
          </w:p>
        </w:tc>
        <w:tc>
          <w:tcPr/>
          <w:p>
            <w:pPr>
              <w:spacing w:after="0"/>
            </w:pPr>
            <w:r>
              <w:rPr>
                <w:rFonts w:ascii="Arial" w:hAnsi="Arial" w:cs="Arial"/>
                <w:sz w:val="16"/>
                <w:szCs w:val="16"/>
              </w:rPr>
              <w:t xml:space="preserve">Respondent's response to that notice</w:t>
            </w:r>
          </w:p>
        </w:tc>
        <w:tc>
          <w:tcPr/>
          <w:p>
            <w:pPr>
              <w:spacing w:after="0"/>
            </w:pPr>
            <w:r>
              <w:rPr>
                <w:rFonts w:ascii="Arial" w:hAnsi="Arial" w:cs="Arial"/>
                <w:sz w:val="16"/>
                <w:szCs w:val="16"/>
              </w:rPr>
              <w:t xml:space="preserve">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28</w:t>
            </w:r>
          </w:p>
        </w:tc>
        <w:tc>
          <w:tcPr/>
          <w:p>
            <w:pPr>
              <w:spacing w:after="0"/>
            </w:pPr>
            <w:r>
              <w:rPr>
                <w:rFonts w:ascii="Arial" w:hAnsi="Arial" w:cs="Arial"/>
                <w:sz w:val="16"/>
                <w:szCs w:val="16"/>
              </w:rPr>
              <w:t xml:space="preserve">myHR leave request history, Process Reference 15480560 (MSH Item 11)</w:t>
            </w:r>
          </w:p>
        </w:tc>
        <w:tc>
          <w:tcPr/>
          <w:p>
            <w:pPr>
              <w:spacing w:after="0"/>
            </w:pPr>
            <w:r>
              <w:rPr>
                <w:rFonts w:ascii="Arial" w:hAnsi="Arial" w:cs="Arial"/>
                <w:sz w:val="16"/>
                <w:szCs w:val="16"/>
              </w:rPr>
              <w:t xml:space="preserve">20 Feb-1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29</w:t>
            </w:r>
          </w:p>
        </w:tc>
        <w:tc>
          <w:tcPr/>
          <w:p>
            <w:pPr>
              <w:spacing w:after="0"/>
            </w:pPr>
            <w:r>
              <w:rPr>
                <w:rFonts w:ascii="Arial" w:hAnsi="Arial" w:cs="Arial"/>
                <w:sz w:val="16"/>
                <w:szCs w:val="16"/>
              </w:rPr>
              <w:t xml:space="preserve">Instrument of Human Resource Sub-Delegation, Paid Special Pandemic Leave (MSH Item 13)</w:t>
            </w:r>
          </w:p>
        </w:tc>
        <w:tc>
          <w:tcPr/>
          <w:p>
            <w:pPr>
              <w:spacing w:after="0"/>
            </w:pPr>
            <w:r>
              <w:rPr>
                <w:rFonts w:ascii="Arial" w:hAnsi="Arial" w:cs="Arial"/>
                <w:sz w:val="16"/>
                <w:szCs w:val="16"/>
              </w:rPr>
              <w:t xml:space="preserve">eff. 5 Dec 2022</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shd w:val="clear" w:color="auto" w:fill="F3F7F3"/>
          </w:tcPr>
          <w:p>
            <w:pPr>
              <w:spacing w:after="0"/>
            </w:pPr>
            <w:r>
              <w:rPr>
                <w:rFonts w:ascii="Arial" w:hAnsi="Arial" w:cs="Arial"/>
                <w:sz w:val="16"/>
                <w:szCs w:val="16"/>
              </w:rPr>
              <w:t xml:space="preserve">6</w:t>
            </w:r>
          </w:p>
        </w:tc>
        <w:tc>
          <w:tcPr>
            <w:shd w:val="clear" w:color="auto" w:fill="F3F7F3"/>
          </w:tcPr>
          <w:p>
            <w:pPr>
              <w:spacing w:after="0"/>
            </w:pPr>
            <w:r>
              <w:rPr>
                <w:rFonts w:ascii="Arial" w:hAnsi="Arial" w:cs="Arial"/>
                <w:sz w:val="16"/>
                <w:szCs w:val="16"/>
              </w:rPr>
              <w:t xml:space="preserve">Taylor, "Afterhours Oncall Process - Switchboard" (Stressor 1(e))</w:t>
            </w:r>
          </w:p>
        </w:tc>
        <w:tc>
          <w:tcPr>
            <w:shd w:val="clear" w:color="auto" w:fill="F3F7F3"/>
          </w:tcPr>
          <w:p>
            <w:pPr>
              <w:spacing w:after="0"/>
            </w:pPr>
            <w:r>
              <w:rPr>
                <w:rFonts w:ascii="Arial" w:hAnsi="Arial" w:cs="Arial"/>
                <w:sz w:val="16"/>
                <w:szCs w:val="16"/>
              </w:rPr>
              <w:t xml:space="preserve">15 Apr 2024, 12:39 pm</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rPr>
          <w:cantSplit/>
        </w:trPr>
        <w:tc>
          <w:tcPr>
            <w:shd w:val="clear" w:color="auto" w:fill="F3F7F3"/>
          </w:tcPr>
          <w:p>
            <w:pPr>
              <w:spacing w:after="0"/>
            </w:pPr>
            <w:r>
              <w:rPr>
                <w:rFonts w:ascii="Arial" w:hAnsi="Arial" w:cs="Arial"/>
                <w:sz w:val="16"/>
                <w:szCs w:val="16"/>
              </w:rPr>
              <w:t xml:space="preserve">20</w:t>
            </w:r>
          </w:p>
        </w:tc>
        <w:tc>
          <w:tcPr>
            <w:shd w:val="clear" w:color="auto" w:fill="F3F7F3"/>
          </w:tcPr>
          <w:p>
            <w:pPr>
              <w:spacing w:after="0"/>
            </w:pPr>
            <w:r>
              <w:rPr>
                <w:rFonts w:ascii="Arial" w:hAnsi="Arial" w:cs="Arial"/>
                <w:sz w:val="16"/>
                <w:szCs w:val="16"/>
              </w:rPr>
              <w:t xml:space="preserve">Metro South to Commissioner Dwyer, K-LM26/729, signed by the Chief Executive (Stressors 1(m) and 3(l))</w:t>
            </w:r>
          </w:p>
        </w:tc>
        <w:tc>
          <w:tcPr>
            <w:shd w:val="clear" w:color="auto" w:fill="F3F7F3"/>
          </w:tcPr>
          <w:p>
            <w:pPr>
              <w:spacing w:after="0"/>
            </w:pPr>
            <w:r>
              <w:rPr>
                <w:rFonts w:ascii="Arial" w:hAnsi="Arial" w:cs="Arial"/>
                <w:sz w:val="16"/>
                <w:szCs w:val="16"/>
              </w:rPr>
              <w:t xml:space="preserve">5 Jun 2026</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rPr>
          <w:cantSplit/>
        </w:trPr>
        <w:tc>
          <w:tcPr>
            <w:shd w:val="clear" w:color="auto" w:fill="F3F7F3"/>
          </w:tcPr>
          <w:p>
            <w:pPr>
              <w:spacing w:after="0"/>
            </w:pPr>
            <w:r>
              <w:rPr>
                <w:rFonts w:ascii="Arial" w:hAnsi="Arial" w:cs="Arial"/>
                <w:sz w:val="16"/>
                <w:szCs w:val="16"/>
              </w:rPr>
              <w:t xml:space="preserve">30</w:t>
            </w:r>
          </w:p>
        </w:tc>
        <w:tc>
          <w:tcPr>
            <w:shd w:val="clear" w:color="auto" w:fill="F3F7F3"/>
          </w:tcPr>
          <w:p>
            <w:pPr>
              <w:spacing w:after="0"/>
            </w:pPr>
            <w:r>
              <w:rPr>
                <w:rFonts w:ascii="Arial" w:hAnsi="Arial" w:cs="Arial"/>
                <w:sz w:val="16"/>
                <w:szCs w:val="16"/>
              </w:rPr>
              <w:t xml:space="preserve">Taylor, "What's Chloe's Hours?!" (Stressor 1(i))</w:t>
            </w:r>
          </w:p>
        </w:tc>
        <w:tc>
          <w:tcPr>
            <w:shd w:val="clear" w:color="auto" w:fill="F3F7F3"/>
          </w:tcPr>
          <w:p>
            <w:pPr>
              <w:spacing w:after="0"/>
            </w:pPr>
            <w:r>
              <w:rPr>
                <w:rFonts w:ascii="Arial" w:hAnsi="Arial" w:cs="Arial"/>
                <w:sz w:val="16"/>
                <w:szCs w:val="16"/>
              </w:rPr>
              <w:t xml:space="preserve">23 Aug 2023, 2:18 pm</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rPr>
          <w:cantSplit/>
        </w:trPr>
        <w:tc>
          <w:tcPr>
            <w:shd w:val="clear" w:color="auto" w:fill="F3F7F3"/>
          </w:tcPr>
          <w:p>
            <w:pPr>
              <w:spacing w:after="0"/>
            </w:pPr>
            <w:r>
              <w:rPr>
                <w:rFonts w:ascii="Arial" w:hAnsi="Arial" w:cs="Arial"/>
                <w:sz w:val="16"/>
                <w:szCs w:val="16"/>
              </w:rPr>
              <w:t xml:space="preserve">30A</w:t>
            </w:r>
          </w:p>
        </w:tc>
        <w:tc>
          <w:tcPr>
            <w:shd w:val="clear" w:color="auto" w:fill="F3F7F3"/>
          </w:tcPr>
          <w:p>
            <w:pPr>
              <w:spacing w:after="0"/>
            </w:pPr>
            <w:r>
              <w:rPr>
                <w:rFonts w:ascii="Arial" w:hAnsi="Arial" w:cs="Arial"/>
                <w:sz w:val="16"/>
                <w:szCs w:val="16"/>
              </w:rPr>
              <w:t xml:space="preserve">Taylor, "Good morning Team." (Stressor 1(i))</w:t>
            </w:r>
          </w:p>
        </w:tc>
        <w:tc>
          <w:tcPr>
            <w:shd w:val="clear" w:color="auto" w:fill="F3F7F3"/>
          </w:tcPr>
          <w:p>
            <w:pPr>
              <w:spacing w:after="0"/>
            </w:pPr>
            <w:r>
              <w:rPr>
                <w:rFonts w:ascii="Arial" w:hAnsi="Arial" w:cs="Arial"/>
                <w:sz w:val="16"/>
                <w:szCs w:val="16"/>
              </w:rPr>
              <w:t xml:space="preserve">18 Jun 2024, 8:58 am</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rPr>
          <w:cantSplit/>
        </w:trPr>
        <w:tc>
          <w:tcPr>
            <w:shd w:val="clear" w:color="auto" w:fill="FBF5EE"/>
          </w:tcPr>
          <w:p>
            <w:pPr>
              <w:spacing w:after="0"/>
            </w:pPr>
            <w:r>
              <w:rPr>
                <w:rFonts w:ascii="Arial" w:hAnsi="Arial" w:cs="Arial"/>
                <w:sz w:val="16"/>
                <w:szCs w:val="16"/>
              </w:rPr>
              <w:t xml:space="preserve">1</w:t>
            </w:r>
          </w:p>
        </w:tc>
        <w:tc>
          <w:tcPr>
            <w:shd w:val="clear" w:color="auto" w:fill="FBF5EE"/>
          </w:tcPr>
          <w:p>
            <w:pPr>
              <w:spacing w:after="0"/>
            </w:pPr>
            <w:r>
              <w:rPr>
                <w:rFonts w:ascii="Arial" w:hAnsi="Arial" w:cs="Arial"/>
                <w:sz w:val="16"/>
                <w:szCs w:val="16"/>
              </w:rPr>
              <w:t xml:space="preserve">Role description, Administration Officer, Switchboard Services (AO3), Logan Hospital</w:t>
            </w:r>
          </w:p>
        </w:tc>
        <w:tc>
          <w:tcPr>
            <w:shd w:val="clear" w:color="auto" w:fill="FBF5EE"/>
          </w:tcPr>
          <w:p>
            <w:pPr>
              <w:spacing w:after="0"/>
            </w:pPr>
            <w:r>
              <w:rPr>
                <w:rFonts w:ascii="Arial" w:hAnsi="Arial" w:cs="Arial"/>
                <w:sz w:val="16"/>
                <w:szCs w:val="16"/>
              </w:rPr>
              <w:t xml:space="preserve">undated</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(facts 1-13)</w:t>
            </w:r>
          </w:p>
        </w:tc>
      </w:tr>
      <w:tr>
        <w:trPr>
          <w:cantSplit/>
        </w:trPr>
        <w:tc>
          <w:tcPr>
            <w:shd w:val="clear" w:color="auto" w:fill="FBF5EE"/>
          </w:tcPr>
          <w:p>
            <w:pPr>
              <w:spacing w:after="0"/>
            </w:pPr>
            <w:r>
              <w:rPr>
                <w:rFonts w:ascii="Arial" w:hAnsi="Arial" w:cs="Arial"/>
                <w:sz w:val="16"/>
                <w:szCs w:val="16"/>
              </w:rPr>
              <w:t xml:space="preserve">5</w:t>
            </w:r>
          </w:p>
        </w:tc>
        <w:tc>
          <w:tcPr>
            <w:shd w:val="clear" w:color="auto" w:fill="FBF5EE"/>
          </w:tcPr>
          <w:p>
            <w:pPr>
              <w:spacing w:after="0"/>
            </w:pPr>
            <w:r>
              <w:rPr>
                <w:rFonts w:ascii="Arial" w:hAnsi="Arial" w:cs="Arial"/>
                <w:sz w:val="16"/>
                <w:szCs w:val="16"/>
              </w:rPr>
              <w:t xml:space="preserve">Taylor, "Approved - Permanent Full Time FTE"</w:t>
            </w:r>
          </w:p>
        </w:tc>
        <w:tc>
          <w:tcPr>
            <w:shd w:val="clear" w:color="auto" w:fill="FBF5EE"/>
          </w:tcPr>
          <w:p>
            <w:pPr>
              <w:spacing w:after="0"/>
            </w:pPr>
            <w:r>
              <w:rPr>
                <w:rFonts w:ascii="Arial" w:hAnsi="Arial" w:cs="Arial"/>
                <w:sz w:val="16"/>
                <w:szCs w:val="16"/>
              </w:rPr>
              <w:t xml:space="preserve">27 Sep 2023, 1:52 pm</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(37-38)</w:t>
            </w:r>
          </w:p>
        </w:tc>
      </w:tr>
      <w:tr>
        <w:trPr>
          <w:cantSplit/>
        </w:trPr>
        <w:tc>
          <w:tcPr>
            <w:shd w:val="clear" w:color="auto" w:fill="FBF5EE"/>
          </w:tcPr>
          <w:p>
            <w:pPr>
              <w:spacing w:after="0"/>
            </w:pPr>
            <w:r>
              <w:rPr>
                <w:rFonts w:ascii="Arial" w:hAnsi="Arial" w:cs="Arial"/>
                <w:sz w:val="16"/>
                <w:szCs w:val="16"/>
              </w:rPr>
              <w:t xml:space="preserve">17</w:t>
            </w:r>
          </w:p>
        </w:tc>
        <w:tc>
          <w:tcPr>
            <w:shd w:val="clear" w:color="auto" w:fill="FBF5EE"/>
          </w:tcPr>
          <w:p>
            <w:pPr>
              <w:spacing w:after="0"/>
            </w:pPr>
            <w:r>
              <w:rPr>
                <w:rFonts w:ascii="Arial" w:hAnsi="Arial" w:cs="Arial"/>
                <w:sz w:val="16"/>
                <w:szCs w:val="16"/>
              </w:rPr>
              <w:t xml:space="preserve">Movement form, approved by Mr Hughes as delegate, recording "Continuous Shift Worker"</w:t>
            </w:r>
          </w:p>
        </w:tc>
        <w:tc>
          <w:tcPr>
            <w:shd w:val="clear" w:color="auto" w:fill="FBF5EE"/>
          </w:tcPr>
          <w:p>
            <w:pPr>
              <w:spacing w:after="0"/>
            </w:pPr>
            <w:r>
              <w:rPr>
                <w:rFonts w:ascii="Arial" w:hAnsi="Arial" w:cs="Arial"/>
                <w:sz w:val="16"/>
                <w:szCs w:val="16"/>
              </w:rPr>
              <w:t xml:space="preserve">27 Feb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rPr>
          <w:cantSplit/>
        </w:trPr>
        <w:tc>
          <w:tcPr>
            <w:shd w:val="clear" w:color="auto" w:fill="FBF5EE"/>
          </w:tcPr>
          <w:p>
            <w:pPr>
              <w:spacing w:after="0"/>
            </w:pPr>
            <w:r>
              <w:rPr>
                <w:rFonts w:ascii="Arial" w:hAnsi="Arial" w:cs="Arial"/>
                <w:sz w:val="16"/>
                <w:szCs w:val="16"/>
              </w:rPr>
              <w:t xml:space="preserve">18</w:t>
            </w:r>
          </w:p>
        </w:tc>
        <w:tc>
          <w:tcPr>
            <w:shd w:val="clear" w:color="auto" w:fill="FBF5EE"/>
          </w:tcPr>
          <w:p>
            <w:pPr>
              <w:spacing w:after="0"/>
            </w:pPr>
            <w:r>
              <w:rPr>
                <w:rFonts w:ascii="Arial" w:hAnsi="Arial" w:cs="Arial"/>
                <w:sz w:val="16"/>
                <w:szCs w:val="16"/>
              </w:rPr>
              <w:t xml:space="preserve">Movement form, approved by Mr Hughes, recording "Continuous Shift Worker"</w:t>
            </w:r>
          </w:p>
        </w:tc>
        <w:tc>
          <w:tcPr>
            <w:shd w:val="clear" w:color="auto" w:fill="FBF5EE"/>
          </w:tcPr>
          <w:p>
            <w:pPr>
              <w:spacing w:after="0"/>
            </w:pPr>
            <w:r>
              <w:rPr>
                <w:rFonts w:ascii="Arial" w:hAnsi="Arial" w:cs="Arial"/>
                <w:sz w:val="16"/>
                <w:szCs w:val="16"/>
              </w:rPr>
              <w:t xml:space="preserve">17 Apr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rPr>
          <w:cantSplit/>
        </w:trPr>
        <w:tc>
          <w:tcPr>
            <w:shd w:val="clear" w:color="auto" w:fill="FBF5EE"/>
          </w:tcPr>
          <w:p>
            <w:pPr>
              <w:spacing w:after="0"/>
            </w:pPr>
            <w:r>
              <w:rPr>
                <w:rFonts w:ascii="Arial" w:hAnsi="Arial" w:cs="Arial"/>
                <w:sz w:val="16"/>
                <w:szCs w:val="16"/>
              </w:rPr>
              <w:t xml:space="preserve">19</w:t>
            </w:r>
          </w:p>
        </w:tc>
        <w:tc>
          <w:tcPr>
            <w:shd w:val="clear" w:color="auto" w:fill="FBF5EE"/>
          </w:tcPr>
          <w:p>
            <w:pPr>
              <w:spacing w:after="0"/>
            </w:pPr>
            <w:r>
              <w:rPr>
                <w:rFonts w:ascii="Arial" w:hAnsi="Arial" w:cs="Arial"/>
                <w:sz w:val="16"/>
                <w:szCs w:val="16"/>
              </w:rPr>
              <w:t xml:space="preserve">Movement form, approved by Mr Hughes, recording "Continuous Shift Worker"</w:t>
            </w:r>
          </w:p>
        </w:tc>
        <w:tc>
          <w:tcPr>
            <w:shd w:val="clear" w:color="auto" w:fill="FBF5EE"/>
          </w:tcPr>
          <w:p>
            <w:pPr>
              <w:spacing w:after="0"/>
            </w:pPr>
            <w:r>
              <w:rPr>
                <w:rFonts w:ascii="Arial" w:hAnsi="Arial" w:cs="Arial"/>
                <w:sz w:val="16"/>
                <w:szCs w:val="16"/>
              </w:rPr>
              <w:t xml:space="preserve">9 Jun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rPr>
          <w:cantSplit/>
        </w:trPr>
        <w:tc>
          <w:tcPr>
            <w:shd w:val="clear" w:color="auto" w:fill="FBF5EE"/>
          </w:tcPr>
          <w:p>
            <w:pPr>
              <w:spacing w:after="0"/>
            </w:pPr>
            <w:r>
              <w:rPr>
                <w:rFonts w:ascii="Arial" w:hAnsi="Arial" w:cs="Arial"/>
                <w:sz w:val="16"/>
                <w:szCs w:val="16"/>
              </w:rPr>
              <w:t xml:space="preserve">21</w:t>
            </w:r>
          </w:p>
        </w:tc>
        <w:tc>
          <w:tcPr>
            <w:shd w:val="clear" w:color="auto" w:fill="FBF5EE"/>
          </w:tcPr>
          <w:p>
            <w:pPr>
              <w:spacing w:after="0"/>
            </w:pPr>
            <w:r>
              <w:rPr>
                <w:rFonts w:ascii="Arial" w:hAnsi="Arial" w:cs="Arial"/>
                <w:sz w:val="16"/>
                <w:szCs w:val="16"/>
              </w:rPr>
              <w:t xml:space="preserve">Forrest, Senior Consultant Human Resources, to the Appellant, stating that the 8-hour agreement "is only applied where staff initiated shift swaps have occurred"</w:t>
            </w:r>
          </w:p>
        </w:tc>
        <w:tc>
          <w:tcPr>
            <w:shd w:val="clear" w:color="auto" w:fill="FBF5EE"/>
          </w:tcPr>
          <w:p>
            <w:pPr>
              <w:spacing w:after="0"/>
            </w:pPr>
            <w:r>
              <w:rPr>
                <w:rFonts w:ascii="Arial" w:hAnsi="Arial" w:cs="Arial"/>
                <w:sz w:val="16"/>
                <w:szCs w:val="16"/>
              </w:rPr>
              <w:t xml:space="preserve">7 Jul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(224-225)</w:t>
            </w:r>
          </w:p>
        </w:tc>
      </w:tr>
      <w:tr>
        <w:trPr>
          <w:cantSplit/>
        </w:trPr>
        <w:tc>
          <w:tcPr>
            <w:shd w:val="clear" w:color="auto" w:fill="FBF5EE"/>
          </w:tcPr>
          <w:p>
            <w:pPr>
              <w:spacing w:after="0"/>
            </w:pPr>
            <w:r>
              <w:rPr>
                <w:rFonts w:ascii="Arial" w:hAnsi="Arial" w:cs="Arial"/>
                <w:sz w:val="16"/>
                <w:szCs w:val="16"/>
              </w:rPr>
              <w:t xml:space="preserve">22</w:t>
            </w:r>
          </w:p>
        </w:tc>
        <w:tc>
          <w:tcPr>
            <w:shd w:val="clear" w:color="auto" w:fill="FBF5EE"/>
          </w:tcPr>
          <w:p>
            <w:pPr>
              <w:spacing w:after="0"/>
            </w:pPr>
            <w:r>
              <w:rPr>
                <w:rFonts w:ascii="Arial" w:hAnsi="Arial" w:cs="Arial"/>
                <w:sz w:val="16"/>
                <w:szCs w:val="16"/>
              </w:rPr>
              <w:t xml:space="preserve">Consultation Paper, Proposed Rosters for Switchboard Services, signed by Mr Hughes 12 Nov 2024</w:t>
            </w:r>
          </w:p>
        </w:tc>
        <w:tc>
          <w:tcPr>
            <w:shd w:val="clear" w:color="auto" w:fill="FBF5EE"/>
          </w:tcPr>
          <w:p>
            <w:pPr>
              <w:spacing w:after="0"/>
            </w:pPr>
            <w:r>
              <w:rPr>
                <w:rFonts w:ascii="Arial" w:hAnsi="Arial" w:cs="Arial"/>
                <w:sz w:val="16"/>
                <w:szCs w:val="16"/>
              </w:rPr>
              <w:t xml:space="preserve">Nov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(169-175)</w:t>
            </w:r>
          </w:p>
        </w:tc>
      </w:tr>
      <w:tr>
        <w:trPr>
          <w:cantSplit/>
        </w:trPr>
        <w:tc>
          <w:tcPr>
            <w:shd w:val="clear" w:color="auto" w:fill="FBF5EE"/>
          </w:tcPr>
          <w:p>
            <w:pPr>
              <w:spacing w:after="0"/>
            </w:pPr>
            <w:r>
              <w:rPr>
                <w:rFonts w:ascii="Arial" w:hAnsi="Arial" w:cs="Arial"/>
                <w:sz w:val="16"/>
                <w:szCs w:val="16"/>
              </w:rPr>
              <w:t xml:space="preserve">23</w:t>
            </w:r>
          </w:p>
        </w:tc>
        <w:tc>
          <w:tcPr>
            <w:shd w:val="clear" w:color="auto" w:fill="FBF5EE"/>
          </w:tcPr>
          <w:p>
            <w:pPr>
              <w:spacing w:after="0"/>
            </w:pPr>
            <w:r>
              <w:rPr>
                <w:rFonts w:ascii="Arial" w:hAnsi="Arial" w:cs="Arial"/>
                <w:sz w:val="16"/>
                <w:szCs w:val="16"/>
              </w:rPr>
              <w:t xml:space="preserve">Consultation outcome, Proposed Rosters, signed by Mr Hughes 12 Dec 2024</w:t>
            </w:r>
          </w:p>
        </w:tc>
        <w:tc>
          <w:tcPr>
            <w:shd w:val="clear" w:color="auto" w:fill="FBF5EE"/>
          </w:tcPr>
          <w:p>
            <w:pPr>
              <w:spacing w:after="0"/>
            </w:pPr>
            <w:r>
              <w:rPr>
                <w:rFonts w:ascii="Arial" w:hAnsi="Arial" w:cs="Arial"/>
                <w:sz w:val="16"/>
                <w:szCs w:val="16"/>
              </w:rPr>
              <w:t xml:space="preserve">Dec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(167-168, 176-177)</w:t>
            </w:r>
          </w:p>
        </w:tc>
      </w:tr>
      <w:tr>
        <w:trPr>
          <w:cantSplit/>
        </w:trPr>
        <w:tc>
          <w:tcPr>
            <w:shd w:val="clear" w:color="auto" w:fill="FBF5EE"/>
          </w:tcPr>
          <w:p>
            <w:pPr>
              <w:spacing w:after="0"/>
            </w:pPr>
            <w:r>
              <w:rPr>
                <w:rFonts w:ascii="Arial" w:hAnsi="Arial" w:cs="Arial"/>
                <w:sz w:val="16"/>
                <w:szCs w:val="16"/>
              </w:rPr>
              <w:t xml:space="preserve">31</w:t>
            </w:r>
          </w:p>
        </w:tc>
        <w:tc>
          <w:tcPr>
            <w:shd w:val="clear" w:color="auto" w:fill="FBF5EE"/>
          </w:tcPr>
          <w:p>
            <w:pPr>
              <w:spacing w:after="0"/>
            </w:pPr>
            <w:r>
              <w:rPr>
                <w:rFonts w:ascii="Arial" w:hAnsi="Arial" w:cs="Arial"/>
                <w:sz w:val="16"/>
                <w:szCs w:val="16"/>
              </w:rPr>
              <w:t xml:space="preserve">Screen capture, "2024 Emergency Code Register.xlsx", March 2024 sheet, entries 16-20 Mar 2024 (Stressor 3(h))</w:t>
            </w:r>
          </w:p>
        </w:tc>
        <w:tc>
          <w:tcPr>
            <w:shd w:val="clear" w:color="auto" w:fill="FBF5EE"/>
          </w:tcPr>
          <w:p>
            <w:pPr>
              <w:spacing w:after="0"/>
            </w:pPr>
            <w:r>
              <w:rPr>
                <w:rFonts w:ascii="Arial" w:hAnsi="Arial" w:cs="Arial"/>
                <w:sz w:val="16"/>
                <w:szCs w:val="16"/>
              </w:rPr>
              <w:t xml:space="preserve">Mar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facts 228-231 not admitted</w:t>
            </w:r>
          </w:p>
        </w:tc>
      </w:tr>
      <w:tr>
        <w:trPr>
          <w:cantSplit/>
        </w:trPr>
        <w:tc>
          <w:tcPr>
            <w:shd w:val="clear" w:color="auto" w:fill="FBF5EE"/>
          </w:tcPr>
          <w:p>
            <w:pPr>
              <w:spacing w:after="0"/>
            </w:pPr>
            <w:r>
              <w:rPr>
                <w:rFonts w:ascii="Arial" w:hAnsi="Arial" w:cs="Arial"/>
                <w:sz w:val="16"/>
                <w:szCs w:val="16"/>
              </w:rPr>
              <w:t xml:space="preserve">24</w:t>
            </w:r>
          </w:p>
        </w:tc>
        <w:tc>
          <w:tcPr>
            <w:shd w:val="clear" w:color="auto" w:fill="FBF5EE"/>
          </w:tcPr>
          <w:p>
            <w:pPr>
              <w:spacing w:after="0"/>
            </w:pPr>
            <w:r>
              <w:rPr>
                <w:rFonts w:ascii="Arial" w:hAnsi="Arial" w:cs="Arial"/>
                <w:sz w:val="16"/>
                <w:szCs w:val="16"/>
              </w:rPr>
              <w:t xml:space="preserve">Moran, Organiser, Together Queensland, to Jeffrey, Conaghan and the Appellant, "Switchboard Roster Feedback - For Delegates"</w:t>
            </w:r>
          </w:p>
        </w:tc>
        <w:tc>
          <w:tcPr>
            <w:shd w:val="clear" w:color="auto" w:fill="FBF5EE"/>
          </w:tcPr>
          <w:p>
            <w:pPr>
              <w:spacing w:after="0"/>
            </w:pPr>
            <w:r>
              <w:rPr>
                <w:rFonts w:ascii="Arial" w:hAnsi="Arial" w:cs="Arial"/>
                <w:sz w:val="16"/>
                <w:szCs w:val="16"/>
              </w:rPr>
              <w:t xml:space="preserve">3 Nov 2025</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Not mentioned</w:t>
            </w:r>
          </w:p>
        </w:tc>
        <w:tc>
          <w:tcPr>
            <w:shd w:val="clear" w:color="auto" w:fill="FBF5EE"/>
          </w:tcPr>
          <w:p>
            <w:pPr>
              <w:spacing w:after="0"/>
            </w:pPr>
            <w:r>
              <w:rPr>
                <w:rFonts w:ascii="Arial" w:hAnsi="Arial" w:cs="Arial"/>
                <w:sz w:val="16"/>
                <w:szCs w:val="16"/>
              </w:rPr>
              <w:t xml:space="preserve">Outstanding; contents admitted (178-179)</w:t>
            </w:r>
          </w:p>
        </w:tc>
      </w:tr>
    </w:tbl>
    <w:p>
      <w:pPr>
        <w:spacing w:before="0" w:after="80" w:line="264" w:lineRule="auto"/>
      </w:pPr>
      <w:r>
        <w:rPr>
          <w:rFonts w:ascii="Arial" w:hAnsi="Arial" w:cs="Arial"/>
          <w:sz w:val="19"/>
          <w:szCs w:val="19"/>
        </w:rPr>
        <w:t xml:space="preserve"/>
      </w:r>
    </w:p>
    <w:p>
      <w:pPr>
        <w:keepNext/>
        <w:spacing w:before="0" w:after="120" w:line="264" w:lineRule="auto"/>
      </w:pPr>
      <w:r>
        <w:rPr>
          <w:rFonts w:ascii="Arial" w:hAnsi="Arial" w:cs="Arial"/>
          <w:b/>
          <w:sz w:val="19"/>
          <w:szCs w:val="19"/>
        </w:rPr>
        <w:t xml:space="preserve">Schedule, Part 2: other documents relied on in the Second Amended Form 9A that are not at Annexure A</w:t>
      </w:r>
    </w:p>
    <w:tbl>
      <w:tblPr>
        <w:tblW w:w="9630" w:type="dxa"/>
        <w:tblBorders>
          <w:top w:val="single" w:sz="4"/>
          <w:left w:val="single" w:sz="4"/>
          <w:bottom w:val="single" w:sz="4"/>
          <w:right w:val="single" w:sz="4"/>
          <w:insideH w:val="single" w:sz="4"/>
          <w:insideV w:val="single" w:sz="4"/>
        </w:tblBorders>
      </w:tblPr>
      <w:tblGrid>
        <w:gridCol w:w="4430"/>
        <w:gridCol w:w="2120"/>
        <w:gridCol w:w="3080"/>
      </w:tblGrid>
      <w:tr>
        <w:trPr>
          <w:tblHeader/>
        </w:trPr>
        <w:tc>
          <w:tcPr>
            <w:shd w:val="clear" w:color="auto" w:fill="E9E9E9"/>
          </w:tcPr>
          <w:p>
            <w:pPr>
              <w:spacing w:after="0"/>
            </w:pPr>
            <w:r>
              <w:rPr>
                <w:rFonts w:ascii="Arial" w:hAnsi="Arial" w:cs="Arial"/>
                <w:b/>
                <w:sz w:val="16"/>
                <w:szCs w:val="16"/>
              </w:rPr>
              <w:t xml:space="preserve">Document</w:t>
            </w:r>
          </w:p>
        </w:tc>
        <w:tc>
          <w:tcPr>
            <w:shd w:val="clear" w:color="auto" w:fill="E9E9E9"/>
          </w:tcPr>
          <w:p>
            <w:pPr>
              <w:spacing w:after="0"/>
            </w:pPr>
            <w:r>
              <w:rPr>
                <w:rFonts w:ascii="Arial" w:hAnsi="Arial" w:cs="Arial"/>
                <w:b/>
                <w:sz w:val="16"/>
                <w:szCs w:val="16"/>
              </w:rPr>
              <w:t xml:space="preserve">Relied on at</w:t>
            </w:r>
          </w:p>
        </w:tc>
        <w:tc>
          <w:tcPr>
            <w:shd w:val="clear" w:color="auto" w:fill="E9E9E9"/>
          </w:tcPr>
          <w:p>
            <w:pPr>
              <w:spacing w:after="0"/>
            </w:pPr>
            <w:r>
              <w:rPr>
                <w:rFonts w:ascii="Arial" w:hAnsi="Arial" w:cs="Arial"/>
                <w:b/>
                <w:sz w:val="16"/>
                <w:szCs w:val="16"/>
              </w:rPr>
              <w:t xml:space="preserve">Status or source</w:t>
            </w:r>
          </w:p>
        </w:tc>
      </w:tr>
      <w:tr>
        <w:trPr>
          <w:cantSplit/>
        </w:trPr>
        <w:tc>
          <w:tcPr/>
          <w:p>
            <w:pPr>
              <w:spacing w:after="0"/>
            </w:pPr>
            <w:r>
              <w:rPr>
                <w:rFonts w:ascii="Arial" w:hAnsi="Arial" w:cs="Arial"/>
                <w:sz w:val="16"/>
                <w:szCs w:val="16"/>
              </w:rPr>
              <w:t xml:space="preserve">The Respondent's outlines of the evidence of Ms Taylor, Ms Reese, Ms Wright and Ms Earl</w:t>
            </w:r>
          </w:p>
        </w:tc>
        <w:tc>
          <w:tcPr/>
          <w:p>
            <w:pPr>
              <w:spacing w:after="0"/>
            </w:pPr>
            <w:r>
              <w:rPr>
                <w:rFonts w:ascii="Arial" w:hAnsi="Arial" w:cs="Arial"/>
                <w:sz w:val="16"/>
                <w:szCs w:val="16"/>
              </w:rPr>
              <w:t xml:space="preserve">Stressors 1(n), 2(e)(i), 3(g) and 3(i); Part C, paragraph 5A</w:t>
            </w:r>
          </w:p>
        </w:tc>
        <w:tc>
          <w:tcPr/>
          <w:p>
            <w:pPr>
              <w:spacing w:after="0"/>
            </w:pPr>
            <w:r>
              <w:rPr>
                <w:rFonts w:ascii="Arial" w:hAnsi="Arial" w:cs="Arial"/>
                <w:sz w:val="16"/>
                <w:szCs w:val="16"/>
              </w:rPr>
              <w:t xml:space="preserve">Served by the Respondent on 24 September 2026; available to the Commission on request. An outline is not evidence.</w:t>
            </w:r>
          </w:p>
        </w:tc>
      </w:tr>
      <w:tr>
        <w:trPr>
          <w:cantSplit/>
        </w:trPr>
        <w:tc>
          <w:tcPr/>
          <w:p>
            <w:pPr>
              <w:spacing w:after="0"/>
            </w:pPr>
            <w:r>
              <w:rPr>
                <w:rFonts w:ascii="Arial" w:hAnsi="Arial" w:cs="Arial"/>
                <w:sz w:val="16"/>
                <w:szCs w:val="16"/>
              </w:rPr>
              <w:t xml:space="preserve">The spreadsheet of recorded MET calls for 17 and 18 March 2024</w:t>
            </w:r>
          </w:p>
        </w:tc>
        <w:tc>
          <w:tcPr/>
          <w:p>
            <w:pPr>
              <w:spacing w:after="0"/>
            </w:pPr>
            <w:r>
              <w:rPr>
                <w:rFonts w:ascii="Arial" w:hAnsi="Arial" w:cs="Arial"/>
                <w:sz w:val="16"/>
                <w:szCs w:val="16"/>
              </w:rPr>
              <w:t xml:space="preserve">Stressor 3(h)</w:t>
            </w:r>
          </w:p>
        </w:tc>
        <w:tc>
          <w:tcPr/>
          <w:p>
            <w:pPr>
              <w:spacing w:after="0"/>
            </w:pPr>
            <w:r>
              <w:rPr>
                <w:rFonts w:ascii="Arial" w:hAnsi="Arial" w:cs="Arial"/>
                <w:sz w:val="16"/>
                <w:szCs w:val="16"/>
              </w:rPr>
              <w:t xml:space="preserve">Metro South Health states that it is available [¶ 268].</w:t>
            </w:r>
          </w:p>
        </w:tc>
      </w:tr>
      <w:tr>
        <w:trPr>
          <w:cantSplit/>
        </w:trPr>
        <w:tc>
          <w:tcPr/>
          <w:p>
            <w:pPr>
              <w:spacing w:after="0"/>
            </w:pPr>
            <w:r>
              <w:rPr>
                <w:rFonts w:ascii="Arial" w:hAnsi="Arial" w:cs="Arial"/>
                <w:sz w:val="16"/>
                <w:szCs w:val="16"/>
              </w:rPr>
              <w:t xml:space="preserve">The Logan Hospital emergency code procedures referred to in the role description</w:t>
            </w:r>
          </w:p>
        </w:tc>
        <w:tc>
          <w:tcPr/>
          <w:p>
            <w:pPr>
              <w:spacing w:after="0"/>
            </w:pPr>
            <w:r>
              <w:rPr>
                <w:rFonts w:ascii="Arial" w:hAnsi="Arial" w:cs="Arial"/>
                <w:sz w:val="16"/>
                <w:szCs w:val="16"/>
              </w:rPr>
              <w:t xml:space="preserve">Stressor 3(h)(i)</w:t>
            </w:r>
          </w:p>
        </w:tc>
        <w:tc>
          <w:tcPr/>
          <w:p>
            <w:pPr>
              <w:spacing w:after="0"/>
            </w:pPr>
            <w:r>
              <w:rPr>
                <w:rFonts w:ascii="Arial" w:hAnsi="Arial" w:cs="Arial"/>
                <w:sz w:val="16"/>
                <w:szCs w:val="16"/>
              </w:rPr>
              <w:t xml:space="preserve">Referred to in the role description [¶ 8] (Tab 1).</w:t>
            </w:r>
          </w:p>
        </w:tc>
      </w:tr>
      <w:tr>
        <w:trPr>
          <w:cantSplit/>
        </w:trPr>
        <w:tc>
          <w:tcPr/>
          <w:p>
            <w:pPr>
              <w:spacing w:after="0"/>
            </w:pPr>
            <w:r>
              <w:rPr>
                <w:rFonts w:ascii="Arial" w:hAnsi="Arial" w:cs="Arial"/>
                <w:sz w:val="16"/>
                <w:szCs w:val="16"/>
              </w:rPr>
              <w:t xml:space="preserve">The documents recording the advice of Human Resources on the 8-hour agreement</w:t>
            </w:r>
          </w:p>
        </w:tc>
        <w:tc>
          <w:tcPr/>
          <w:p>
            <w:pPr>
              <w:spacing w:after="0"/>
            </w:pPr>
            <w:r>
              <w:rPr>
                <w:rFonts w:ascii="Arial" w:hAnsi="Arial" w:cs="Arial"/>
                <w:sz w:val="16"/>
                <w:szCs w:val="16"/>
              </w:rPr>
              <w:t xml:space="preserve">Referred to in the outlines (first row)</w:t>
            </w:r>
          </w:p>
        </w:tc>
        <w:tc>
          <w:tcPr/>
          <w:p>
            <w:pPr>
              <w:spacing w:after="0"/>
            </w:pPr>
            <w:r>
              <w:rPr>
                <w:rFonts w:ascii="Arial" w:hAnsi="Arial" w:cs="Arial"/>
                <w:sz w:val="16"/>
                <w:szCs w:val="16"/>
              </w:rPr>
              <w:t xml:space="preserve">The outlines of Ms Taylor and Ms Reese refer to them; neither identifies them.</w:t>
            </w:r>
          </w:p>
        </w:tc>
      </w:tr>
      <w:tr>
        <w:trPr>
          <w:cantSplit/>
        </w:trPr>
        <w:tc>
          <w:tcPr/>
          <w:p>
            <w:pPr>
              <w:spacing w:after="0"/>
            </w:pPr>
            <w:r>
              <w:rPr>
                <w:rFonts w:ascii="Arial" w:hAnsi="Arial" w:cs="Arial"/>
                <w:sz w:val="16"/>
                <w:szCs w:val="16"/>
              </w:rPr>
              <w:t xml:space="preserve">The Communication Book</w:t>
            </w:r>
          </w:p>
        </w:tc>
        <w:tc>
          <w:tcPr/>
          <w:p>
            <w:pPr>
              <w:spacing w:after="0"/>
            </w:pPr>
            <w:r>
              <w:rPr>
                <w:rFonts w:ascii="Arial" w:hAnsi="Arial" w:cs="Arial"/>
                <w:sz w:val="16"/>
                <w:szCs w:val="16"/>
              </w:rPr>
              <w:t xml:space="preserve">Stressor 1(j); Part B.5.4</w:t>
            </w:r>
          </w:p>
        </w:tc>
        <w:tc>
          <w:tcPr/>
          <w:p>
            <w:pPr>
              <w:spacing w:after="0"/>
            </w:pPr>
            <w:r>
              <w:rPr>
                <w:rFonts w:ascii="Arial" w:hAnsi="Arial" w:cs="Arial"/>
                <w:sz w:val="16"/>
                <w:szCs w:val="16"/>
              </w:rPr>
              <w:t xml:space="preserve">Not listed in the Respondent's amended List of Documents of 14 August 2026; paragraph 154 of the notice was not admitted.</w:t>
            </w:r>
          </w:p>
        </w:tc>
      </w:tr>
      <w:tr>
        <w:trPr>
          <w:cantSplit/>
        </w:trPr>
        <w:tc>
          <w:tcPr/>
          <w:p>
            <w:pPr>
              <w:spacing w:after="0"/>
            </w:pPr>
            <w:r>
              <w:rPr>
                <w:rFonts w:ascii="Arial" w:hAnsi="Arial" w:cs="Arial"/>
                <w:sz w:val="16"/>
                <w:szCs w:val="16"/>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p>
            <w:pPr>
              <w:spacing w:after="0"/>
            </w:pPr>
            <w:r>
              <w:rPr>
                <w:rFonts w:ascii="Arial" w:hAnsi="Arial" w:cs="Arial"/>
                <w:sz w:val="16"/>
                <w:szCs w:val="16"/>
              </w:rPr>
              <w:t xml:space="preserve">Stressor 2(e)(i); Part B.4</w:t>
            </w:r>
          </w:p>
        </w:tc>
        <w:tc>
          <w:tcPr/>
          <w:p>
            <w:pPr>
              <w:spacing w:after="0"/>
            </w:pPr>
            <w:r>
              <w:rPr>
                <w:rFonts w:ascii="Arial" w:hAnsi="Arial" w:cs="Arial"/>
                <w:sz w:val="16"/>
                <w:szCs w:val="16"/>
              </w:rPr>
              <w:t xml:space="preserve">Disclosed by the Respondent in July 2025.</w:t>
            </w:r>
          </w:p>
        </w:tc>
      </w:tr>
      <w:tr>
        <w:trPr>
          <w:cantSplit/>
        </w:trPr>
        <w:tc>
          <w:tcPr/>
          <w:p>
            <w:pPr>
              <w:spacing w:after="0"/>
            </w:pPr>
            <w:r>
              <w:rPr>
                <w:rFonts w:ascii="Arial" w:hAnsi="Arial" w:cs="Arial"/>
                <w:sz w:val="16"/>
                <w:szCs w:val="16"/>
              </w:rPr>
              <w:t xml:space="preserve">The Respondent's disclosure of 11 June 2026 (10 pages): the leave-form walkthrough for Process Reference 15480560, the emails of 15 May 2024 at 1:15 pm and 6:23 pm, the emails of 15 and 16 May 2024 concerning the complaint of 13 May 2024, and the complaint form</w:t>
            </w:r>
          </w:p>
        </w:tc>
        <w:tc>
          <w:tcPr/>
          <w:p>
            <w:pPr>
              <w:spacing w:after="0"/>
            </w:pPr>
            <w:r>
              <w:rPr>
                <w:rFonts w:ascii="Arial" w:hAnsi="Arial" w:cs="Arial"/>
                <w:sz w:val="16"/>
                <w:szCs w:val="16"/>
              </w:rPr>
              <w:t xml:space="preserve">Stressor 1(n), for dates, senders and recipients only</w:t>
            </w:r>
          </w:p>
        </w:tc>
        <w:tc>
          <w:tcPr/>
          <w:p>
            <w:pPr>
              <w:spacing w:after="0"/>
            </w:pPr>
            <w:r>
              <w:rPr>
                <w:rFonts w:ascii="Arial" w:hAnsi="Arial" w:cs="Arial"/>
                <w:sz w:val="16"/>
                <w:szCs w:val="16"/>
              </w:rPr>
              <w:t xml:space="preserve">Disclosed by the Respondent on 11 June 2026.</w:t>
            </w:r>
          </w:p>
        </w:tc>
      </w:tr>
      <w:tr>
        <w:trPr>
          <w:cantSplit/>
        </w:trPr>
        <w:tc>
          <w:tcPr/>
          <w:p>
            <w:pPr>
              <w:spacing w:after="0"/>
            </w:pPr>
            <w:r>
              <w:rPr>
                <w:rFonts w:ascii="Arial" w:hAnsi="Arial" w:cs="Arial"/>
                <w:sz w:val="16"/>
                <w:szCs w:val="16"/>
              </w:rPr>
              <w:t xml:space="preserve">Queensland Health's Code Blue procedure 001443 (Royal Brisbane and Women's Hospital, version 5, April 2020)</w:t>
            </w:r>
          </w:p>
        </w:tc>
        <w:tc>
          <w:tcPr/>
          <w:p>
            <w:pPr>
              <w:spacing w:after="0"/>
            </w:pPr>
            <w:r>
              <w:rPr>
                <w:rFonts w:ascii="Arial" w:hAnsi="Arial" w:cs="Arial"/>
                <w:sz w:val="16"/>
                <w:szCs w:val="16"/>
              </w:rPr>
              <w:t xml:space="preserve">Stressor 3(h)(i): the types of Code Blue and the role of Switchboard Services</w:t>
            </w:r>
          </w:p>
        </w:tc>
        <w:tc>
          <w:tcPr/>
          <w:p>
            <w:pPr>
              <w:spacing w:after="0"/>
            </w:pPr>
            <w:r>
              <w:rPr>
                <w:rFonts w:ascii="Arial" w:hAnsi="Arial" w:cs="Arial"/>
                <w:sz w:val="16"/>
                <w:szCs w:val="16"/>
              </w:rPr>
              <w:t xml:space="preserve">Public document.</w:t>
            </w:r>
          </w:p>
        </w:tc>
      </w:tr>
      <w:tr>
        <w:trPr>
          <w:cantSplit/>
        </w:trPr>
        <w:tc>
          <w:tcPr/>
          <w:p>
            <w:pPr>
              <w:spacing w:after="0"/>
            </w:pPr>
            <w:r>
              <w:rPr>
                <w:rFonts w:ascii="Arial" w:hAnsi="Arial" w:cs="Arial"/>
                <w:sz w:val="16"/>
                <w:szCs w:val="16"/>
              </w:rPr>
              <w:t xml:space="preserve">The Queensland Ombudsman's Neville Report (June 2006) and its 2011 update, and the Coroner's findings of 12 September 2008</w:t>
            </w:r>
          </w:p>
        </w:tc>
        <w:tc>
          <w:tcPr/>
          <w:p>
            <w:pPr>
              <w:spacing w:after="0"/>
            </w:pPr>
            <w:r>
              <w:rPr>
                <w:rFonts w:ascii="Arial" w:hAnsi="Arial" w:cs="Arial"/>
                <w:sz w:val="16"/>
                <w:szCs w:val="16"/>
              </w:rPr>
              <w:t xml:space="preserve">Stressor 3(l)(ii): the origin of the fatigue framework</w:t>
            </w:r>
          </w:p>
        </w:tc>
        <w:tc>
          <w:tcPr/>
          <w:p>
            <w:pPr>
              <w:spacing w:after="0"/>
            </w:pPr>
            <w:r>
              <w:rPr>
                <w:rFonts w:ascii="Arial" w:hAnsi="Arial" w:cs="Arial"/>
                <w:sz w:val="16"/>
                <w:szCs w:val="16"/>
              </w:rPr>
              <w:t xml:space="preserve">Public documents.</w:t>
            </w:r>
          </w:p>
        </w:tc>
      </w:tr>
      <w:tr>
        <w:trPr>
          <w:cantSplit/>
        </w:trPr>
        <w:tc>
          <w:tcPr/>
          <w:p>
            <w:pPr>
              <w:spacing w:after="0"/>
            </w:pPr>
            <w:r>
              <w:rPr>
                <w:rFonts w:ascii="Arial" w:hAnsi="Arial" w:cs="Arial"/>
                <w:sz w:val="16"/>
                <w:szCs w:val="16"/>
              </w:rPr>
              <w:t xml:space="preserve">The monthly call statistics for April 2025</w:t>
            </w:r>
          </w:p>
        </w:tc>
        <w:tc>
          <w:tcPr/>
          <w:p>
            <w:pPr>
              <w:spacing w:after="0"/>
            </w:pPr>
            <w:r>
              <w:rPr>
                <w:rFonts w:ascii="Arial" w:hAnsi="Arial" w:cs="Arial"/>
                <w:sz w:val="16"/>
                <w:szCs w:val="16"/>
              </w:rPr>
              <w:t xml:space="preserve">Stressor 3(h)(v)</w:t>
            </w:r>
          </w:p>
        </w:tc>
        <w:tc>
          <w:tcPr/>
          <w:p>
            <w:pPr>
              <w:spacing w:after="0"/>
            </w:pPr>
            <w:r>
              <w:rPr>
                <w:rFonts w:ascii="Arial" w:hAnsi="Arial" w:cs="Arial"/>
                <w:sz w:val="16"/>
                <w:szCs w:val="16"/>
              </w:rPr>
              <w:t xml:space="preserve">The Appellant's own record and evidence (Part B preamble).</w:t>
            </w:r>
          </w:p>
        </w:tc>
      </w:tr>
    </w:tbl>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The Appellant asked the Respondent on 9 September 2026 to confirm the ten outstanding documents. The Respondent's email of 23 September 2026 gives no date by which the copies are expected, and does not refer to Tab 24, which is a Together Queensland document, not a Metro South Health document. The nine documents the Respondent referred to Metro South Health are Metro South Health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 This letter accompanies the Appellant's election and requested directions (one page). Enclosure: Second Amended Statement of Facts and Contentions (Form 9A), 25 pages.</w:t>
      </w:r>
    </w:p>
    <w:sectPr>
      <w:pgSz w:w="11906" w:h="16838"/>
      <w:pgMar w:top="1000" w:right="1134" w:bottom="900" w:left="1134" w:header="567" w:footer="567" w:gutter="0"/>
    </w:sectPr>
  </w:body>
</w:document>
</file>