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 so the amendment is sought before the matter is listed and before either party prepares for hearing on the earlier pleading. The Appellant does not oppose the Respondent having a period to amend its statement of facts and contentions if it wishes.</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made.</w:t>
      </w:r>
    </w:p>
    <w:p>
      <w:pPr>
        <w:spacing w:after="100"/>
      </w:pPr>
      <w:r>
        <w:rPr>
          <w:rFonts w:ascii="Arial" w:hAnsi="Arial"/>
          <w:sz w:val="20"/>
        </w:rPr>
        <w:t xml:space="preserve">Cory Lea Shepherd, 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