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550(4),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State of Queensland (Queensland Health) - Logan Hospital Switchboard. Role: Administration Officer, Switchboard Services, classification AO3, a continuous shift working role.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certified by the treating general practitioner. The injury is pleaded as arising from that course of conduct, not from a single event on that day.</w:t>
      </w:r>
    </w:p>
    <w:p>
      <w:pPr>
        <w:spacing w:before="0" w:after="100" w:line="264" w:lineRule="auto"/>
        <w:ind w:left="284"/>
      </w:pPr>
      <w:r>
        <w:rPr>
          <w:rFonts w:ascii="Arial" w:hAnsi="Arial" w:cs="Arial"/>
          <w:i/>
          <w:sz w:val="18"/>
          <w:szCs w:val="18"/>
        </w:rPr>
        <w:t xml:space="preserve">Particulars: paragraphs 1 to 4, 13 to 16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Unless a paragraph says it is context only, each fact set out below was admitted by the Respondent, to the extent recorded in its response of 8 September 2026. The Commission is asked to decide from those admissions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w:t>
      </w:r>
    </w:p>
    <w:p>
      <w:pPr>
        <w:spacing w:before="0" w:after="100" w:line="264" w:lineRule="auto"/>
        <w:ind w:left="284"/>
      </w:pPr>
      <w:r>
        <w:rPr>
          <w:rFonts w:ascii="Arial" w:hAnsi="Arial" w:cs="Arial"/>
          <w:i/>
          <w:sz w:val="18"/>
          <w:szCs w:val="18"/>
        </w:rPr>
        <w:t xml:space="preserve">Duty engaged: paragraphs 5, 7 to 8, 10 of that notice (the role description).</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or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1.10).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renews a referral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how the injury certified as anxiety and stress on 1 July 2024 had become a depressive disorder by 24 October 2024.</w:t>
      </w:r>
    </w:p>
    <w:p>
      <w:pPr>
        <w:spacing w:before="0" w:after="100" w:line="264" w:lineRule="auto"/>
      </w:pPr>
      <w:r>
        <w:rPr>
          <w:rFonts w:ascii="Arial" w:hAnsi="Arial" w:cs="Arial"/>
          <w:b/>
          <w:sz w:val="20"/>
          <w:szCs w:val="20"/>
        </w:rPr>
        <w:t xml:space="preserve">1.7 The report of 13 February 2025.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before="0" w:after="100" w:line="264" w:lineRule="auto"/>
        <w:ind w:left="284"/>
      </w:pPr>
      <w:r>
        <w:rPr>
          <w:rFonts w:ascii="Arial" w:hAnsi="Arial" w:cs="Arial"/>
          <w:i/>
          <w:sz w:val="18"/>
          <w:szCs w:val="18"/>
        </w:rPr>
        <w:t xml:space="preserve">Particulars: paragraphs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The report's footer, and the author's position. </w:t>
      </w:r>
      <w:r>
        <w:rPr>
          <w:rFonts w:ascii="Arial" w:hAnsi="Arial" w:cs="Arial"/>
          <w:sz w:val="20"/>
          <w:szCs w:val="20"/>
        </w:rPr>
        <w:t xml:space="preserve">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pPr>
      <w:r>
        <w:rPr>
          <w:rFonts w:ascii="Arial" w:hAnsi="Arial" w:cs="Arial"/>
          <w:b/>
          <w:sz w:val="20"/>
          <w:szCs w:val="20"/>
        </w:rPr>
        <w:t xml:space="preserve">1.9 Current capacity. </w:t>
      </w:r>
      <w:r>
        <w:rPr>
          <w:rFonts w:ascii="Arial" w:hAnsi="Arial" w:cs="Arial"/>
          <w:sz w:val="20"/>
          <w:szCs w:val="20"/>
        </w:rPr>
        <w:t xml:space="preserve">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It is dated after 1 July 2024.</w:t>
      </w:r>
    </w:p>
    <w:p>
      <w:pPr>
        <w:spacing w:before="0" w:after="100" w:line="264" w:lineRule="auto"/>
      </w:pPr>
      <w:r>
        <w:rPr>
          <w:rFonts w:ascii="Arial" w:hAnsi="Arial" w:cs="Arial"/>
          <w:b/>
          <w:sz w:val="20"/>
          <w:szCs w:val="20"/>
        </w:rPr>
        <w:t xml:space="preserve">1.10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1.11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hd w:val="clear" w:color="auto" w:fill="E9E9E9"/>
        <w:spacing w:before="200" w:after="100" w:line="264" w:lineRule="auto"/>
      </w:pPr>
      <w:r>
        <w:rPr>
          <w:rFonts w:ascii="Arial" w:hAnsi="Arial" w:cs="Arial"/>
          <w:b/>
          <w:sz w:val="22"/>
          <w:szCs w:val="22"/>
        </w:rPr>
        <w:t xml:space="preserve">STRESSOR 1 - THE CONDITIONS IN WHICH THE WORK WAS CARRIED ON</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following fortnight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other occasions.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The console took about 270 to 440 calls on an eight-hour shift. Emergency codes were received and paged through it throughout the day (Stressor 3(h) below).</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the reporting clinician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request.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So the request for the Manager's office hours was made at 1:15 pm on 15 May 2024. 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nine months. [¶¶ 73 to 84]</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 rostering error,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full 24-hour rotational schedule,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36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replied that he was eligible for up to five days' paid leave on photo evidence of the test, and "requested that you send it to her so she could submit it in MyHR". [¶ 136]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b/>
          <w:sz w:val="20"/>
          <w:szCs w:val="20"/>
        </w:rPr>
        <w:t xml:space="preserve">(m) The authority to decide that application. </w:t>
      </w:r>
      <w:r>
        <w:rPr>
          <w:rFonts w:ascii="Arial" w:hAnsi="Arial" w:cs="Arial"/>
          <w:sz w:val="20"/>
          <w:szCs w:val="20"/>
        </w:rPr>
        <w:t xml:space="preserve">The power to approve paid special pandemic leave was sub-delegated by an Instrument of Human Resource Sub-Delegation signed by the Health Service Chief Executive on 23 November 2022 and effective from 5 December 2022. [¶ 127]</w:t>
      </w:r>
    </w:p>
    <w:p>
      <w:pPr>
        <w:spacing w:before="0" w:after="100" w:line="264" w:lineRule="auto"/>
      </w:pPr>
      <w:r>
        <w:rPr>
          <w:rFonts w:ascii="Arial" w:hAnsi="Arial" w:cs="Arial"/>
          <w:sz w:val="20"/>
          <w:szCs w:val="20"/>
        </w:rPr>
        <w:t xml:space="preserve">That Instrument states: "This Instrument does not permit the further sub-delegation of the powers outlined in (a) above." [¶ 128]</w:t>
      </w:r>
    </w:p>
    <w:p>
      <w:pPr>
        <w:spacing w:before="0" w:after="100" w:line="264" w:lineRule="auto"/>
      </w:pPr>
      <w:r>
        <w:rPr>
          <w:rFonts w:ascii="Arial" w:hAnsi="Arial" w:cs="Arial"/>
          <w:sz w:val="20"/>
          <w:szCs w:val="20"/>
        </w:rPr>
        <w:t xml:space="preserve">In the leave request history the Switchboard Manager is identified as "Reviewer" and the Director as "Manager". [¶ 126]</w:t>
      </w:r>
    </w:p>
    <w:p>
      <w:pPr>
        <w:spacing w:before="0" w:after="100" w:line="264" w:lineRule="auto"/>
      </w:pPr>
      <w:r>
        <w:rPr>
          <w:rFonts w:ascii="Arial" w:hAnsi="Arial" w:cs="Arial"/>
          <w:sz w:val="20"/>
          <w:szCs w:val="20"/>
        </w:rPr>
        <w:t xml:space="preserve">The Respondent does not allege that either was a Band 9 delegate at any relevant time in February or March 2024, and does not identify the person who exercised the power sub-delegated by that Instrument in respect of Process Reference 15480560. [¶¶ 129 to 131]</w:t>
      </w:r>
    </w:p>
    <w:p>
      <w:pPr>
        <w:spacing w:before="0" w:after="100" w:line="264" w:lineRule="auto"/>
      </w:pPr>
      <w:r>
        <w:rPr>
          <w:rFonts w:ascii="Arial" w:hAnsi="Arial" w:cs="Arial"/>
          <w:b/>
          <w:sz w:val="20"/>
          <w:szCs w:val="20"/>
        </w:rPr>
        <w:t xml:space="preserve">(n) Public interest disclosure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w:t>
      </w:r>
    </w:p>
    <w:p>
      <w:pPr>
        <w:spacing w:before="0" w:after="100" w:line="264" w:lineRule="auto"/>
      </w:pPr>
      <w:r>
        <w:rPr>
          <w:rFonts w:ascii="Arial" w:hAnsi="Arial" w:cs="Arial"/>
          <w:b/>
          <w:sz w:val="20"/>
          <w:szCs w:val="20"/>
        </w:rPr>
        <w:t xml:space="preserve">(o) Workplace representation. </w:t>
      </w:r>
      <w:r>
        <w:rPr>
          <w:rFonts w:ascii="Arial" w:hAnsi="Arial" w:cs="Arial"/>
          <w:sz w:val="20"/>
          <w:szCs w:val="20"/>
        </w:rPr>
        <w:t xml:space="preserve">The Respondent has admitted that the Union Encouragement Policy QH-POL-248 requires managers to take a "positive, supportive role" in relation to workplace delegates, and admitted that the Appellant sent a text to the Manager at 5.03 pm that he was "just putting his hand up", saying that this was not a formal notification. [¶¶ 293 to 294]</w:t>
      </w:r>
    </w:p>
    <w:p>
      <w:pPr>
        <w:spacing w:before="0" w:after="100" w:line="264" w:lineRule="auto"/>
      </w:pPr>
      <w:r>
        <w:rPr>
          <w:rFonts w:ascii="Arial" w:hAnsi="Arial" w:cs="Arial"/>
          <w:sz w:val="20"/>
          <w:szCs w:val="20"/>
        </w:rPr>
        <w:t xml:space="preserve">On 3 November 2025 an Organiser of Together Queensland wrote to the Appellant and two colleagues congratulating them, and the Appellant was endorsed as a workplace delegate on or about that date. [¶¶ 178 to 179]</w:t>
      </w:r>
    </w:p>
    <w:p>
      <w:pPr>
        <w:spacing w:before="0" w:after="100" w:line="264" w:lineRule="auto"/>
      </w:pPr>
      <w:r>
        <w:rPr>
          <w:rFonts w:ascii="Arial" w:hAnsi="Arial" w:cs="Arial"/>
          <w:b/>
          <w:sz w:val="20"/>
          <w:szCs w:val="20"/>
        </w:rPr>
        <w:t xml:space="preserve">(p)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(q)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(m), (n) and (o)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(p).</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shd w:val="clear" w:color="auto" w:fill="E9E9E9"/>
        <w:spacing w:before="200" w:after="100" w:line="264" w:lineRule="auto"/>
      </w:pPr>
      <w:r>
        <w:rPr>
          <w:rFonts w:ascii="Arial" w:hAnsi="Arial" w:cs="Arial"/>
          <w:b/>
          <w:sz w:val="22"/>
          <w:szCs w:val="22"/>
        </w:rPr>
        <w:t xml:space="preserve">STRESSOR 2 - REMUNERATION</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the Manager.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shifts of 17 and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and the Manager.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certified by his general practitioner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and its outlines of evidence (Part B.6) describe the pay issues as "corrected" and "remedied in a timely manner" [¶ 207] without stating these dates.</w:t>
      </w:r>
    </w:p>
    <w:p>
      <w:pPr>
        <w:spacing w:before="0" w:after="100" w:line="264" w:lineRule="auto"/>
      </w:pPr>
      <w:r>
        <w:rPr>
          <w:rFonts w:ascii="Arial" w:hAnsi="Arial" w:cs="Arial"/>
          <w:sz w:val="20"/>
          <w:szCs w:val="20"/>
        </w:rPr>
        <w:t xml:space="preserve">So the pay sequence was this. 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and the Manager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either recorded approver was a Band 9 delegate at the relevant time and does not identify the person who exercised the sub-delegated power for Process Reference 15480560; nor does it allege that any other Switchboard employee was required personally to submit such a request through myHR in February 2024. [¶¶ 129 to 131, 142] This sequence is repeated on purpose from Stressor 1(l) and (m).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of delayed pay as a source of financial stress. The medical records are relied on for what was reported and for the clinical course. The pay events themselves are proved by the admitted payroll, myHR and pleading facts set out above.</w:t>
      </w:r>
    </w:p>
    <w:p>
      <w:pPr>
        <w:keepNext/>
        <w:shd w:val="clear" w:color="auto" w:fill="E9E9E9"/>
        <w:spacing w:before="200" w:after="100" w:line="264" w:lineRule="auto"/>
      </w:pPr>
      <w:r>
        <w:rPr>
          <w:rFonts w:ascii="Arial" w:hAnsi="Arial" w:cs="Arial"/>
          <w:b/>
          <w:sz w:val="22"/>
          <w:szCs w:val="22"/>
        </w:rPr>
        <w:t xml:space="preserve">STRESSOR 3 - THE ROSTER AND FATIGUE</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 rostering error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This pleading relies on that admitted record. Separate estimates of time awake, travel, sleep and workload are not part of the admitted facts and are not pleaded.</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at 0:17 a MET call to Ward MIU bed 21; at 1:41 a Code Grey in ED ambulatory care; at 9:27 a Paediatric MET call to Ward CIU bed 16; at 10:28 a simulation MET call to Ward 7C bed 3; at 11:30 a MET call to Ward 2I bed 20 and at 11:34 a MET call to the same bed, annotated "CALLED VIA SWITRCHBOARD" [sic]; at 12:36 a MET call to Ward 2I bed 12; at 13:42 a MET call to Ward 3DR bed 11; at 16:28 a MET call to Ward 3DR bed 11, cancelled at 16:29; at 16:48 a Code Grey in the ED mental health lounge; at 17:23 a MET call to Ward 3DR bed 11; at 17:31 a Code Grey in ED ambulatory care room 2; at 18:45 a MET call to Ward 5B bed 7; at 21:28 a Code Grey in the ED mental health lounge; and at 22:25 a Code Grey at ED QAS triage. Between 06:00 and 14:00 there were six: a Paediatric MET call, a simulation, and four adult MET calls, one of them recorded as called through the Switchboard.</w:t>
      </w:r>
    </w:p>
    <w:p>
      <w:pPr>
        <w:spacing w:before="0" w:after="100" w:line="264" w:lineRule="auto"/>
      </w:pPr>
      <w:r>
        <w:rPr>
          <w:rFonts w:ascii="Arial" w:hAnsi="Arial" w:cs="Arial"/>
          <w:sz w:val="20"/>
          <w:szCs w:val="20"/>
        </w:rPr>
        <w:t xml:space="preserve">The entries are those recorded in the register at Tab 31. The employer holds its own record of the MET calls for 17 and 18 March 2024. [¶ 268]</w:t>
      </w:r>
    </w:p>
    <w:p>
      <w:pPr>
        <w:spacing w:before="0" w:after="100" w:line="264" w:lineRule="auto"/>
      </w:pPr>
      <w:r>
        <w:rPr>
          <w:rFonts w:ascii="Arial" w:hAnsi="Arial" w:cs="Arial"/>
          <w:b/>
          <w:sz w:val="20"/>
          <w:szCs w:val="20"/>
        </w:rPr>
        <w:t xml:space="preserve">(h)(v) The ordinary call load, and the Monday. </w:t>
      </w:r>
      <w:r>
        <w:rPr>
          <w:rFonts w:ascii="Arial" w:hAnsi="Arial" w:cs="Arial"/>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an interval of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252 to 254]</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and a fatigue risk management system as "An integrated set of management practices and procedures for monitoring and managing the risks posed to health, safety and wellbeing by fatigue". It defines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provides that "workers should be encouraged to report fatigue via the organisation's incident management system or other relevant hazard or incident reporting channels", and that reporting fatigue may constitute "a situation where a worker has identified that they are suffering from fatigue due to work-related factors". [p 22] It provides that determining whether fatigue contributed to an incident "is reliant on evidence such as rostering information, actual hours worked, fatigue leave, fatigue self-assessment scores and reporting of fatigue hazards". [p 23] It lists among performance indicators "fatigue risk management training compliance levels" and "payroll data (fatigue leave and overtime accessed)". [p 24, section 6.1] It lists among its related documents the Hospital and Health Services General Employees (Queensland Health) Award - State 2015 and the "I1 (QH-POL-171) Fatigue risk management policy". [p 28]</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 It states that successful implementation "relies strongly on effective communication", including "the training of relevant stakeholders so there is an understanding of the actions required of individuals to ensure the FRMS performs as intended". [p 25, section 7] It states that monitoring and assurance "can highlight situations where control measures may require modification" and provide "an opportunity to identify emerging issues and introduce new procedures and controls to mitigate risk". [p 25, section 6.2]</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the "Samn-Perelli fatigue checklist", "Preventing and managing fatigue-related risk in the workplace (Workplace Health and Safety Queensland)", the Health, safety and wellbeing consultation standard (QH-IMP-401-2:2020), the Health, safety and wellbeing risk management standard (QH-IMP-401-3:2020) and the Health, safety and wellbeing policy (QH-POL-401:2020). [pp 27 to 28, section 9] Its legislation list includes the Work Health and Safety Act 2011, the Work Health and Safety Regulation 2011, and the "Managing the risk of work-related psychosocial hazards Code of Practice". [p 27, section 8]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and Ziebertz and others (2015) on "The Relationship of on-call work with fatigue, work-home interference, and perceived performance difficulties". [pp 30 to 31, section 12] Each page of the disclosed copy carries the footer "Managing the risk of psychosocial hazards at work Code of Practice 2022 applies 1 April 2023".</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context only, not cause. </w:t>
      </w:r>
      <w:r>
        <w:rPr>
          <w:rFonts w:ascii="Arial" w:hAnsi="Arial" w:cs="Arial"/>
          <w:sz w:val="20"/>
          <w:szCs w:val="20"/>
        </w:rPr>
        <w:t xml:space="preserve">The work capacity certificates certify no functional capacity from 1 July to 6 October 2024. During certified leave, Ms Reese contacted the Appellant and meetings were scheduled. His employment was later ended under abandonment provisions with an effective separation date of 20 September 2024, and he was later reinstated. These matters are notified in his outline of evidence. The effective separation date therefore falls within the certified no-capacity period. The later October communication or processing of the abandonment outcome is not pleaded as having occurred while the final certificate was still current. These matters are not part of the admitted facts and are not relied on as causes of the injury, which had arisen by June 2024. They are kept only as context after the injury, as history of continuing effect and capacity, and as matters notified for oral evidence. Any later WorkCover, income-protection, return-to-work or employment dispute is treated in the same way unless it is separately admitted and relied on for another stated purpose.</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w:t>
      </w:r>
    </w:p>
    <w:p>
      <w:pPr>
        <w:spacing w:before="0" w:after="100" w:line="264" w:lineRule="auto"/>
        <w:ind w:left="284"/>
      </w:pPr>
      <w:r>
        <w:rPr>
          <w:rFonts w:ascii="Arial" w:hAnsi="Arial" w:cs="Arial"/>
          <w:i/>
          <w:sz w:val="18"/>
          <w:szCs w:val="18"/>
        </w:rPr>
        <w:t xml:space="preserve">Particulars: paragraphs 274 to 282 of the notice to admit facts served 28 August 2026, admitted 8 September 2026.</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00"/>
        <w:gridCol w:w="1900"/>
        <w:gridCol w:w="1700"/>
        <w:gridCol w:w="1338"/>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1(g)</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3(j)</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 Part B.1.4</w:t>
            </w:r>
          </w:p>
        </w:tc>
        <w:tc>
          <w:tcPr/>
          <w:p>
            <w:pPr>
              <w:spacing w:after="0"/>
            </w:pPr>
            <w:r>
              <w:rPr>
                <w:rFonts w:ascii="Arial" w:hAnsi="Arial" w:cs="Arial"/>
                <w:sz w:val="17"/>
                <w:szCs w:val="17"/>
              </w:rPr>
              <w:t xml:space="preserve">-</w:t>
            </w:r>
          </w:p>
        </w:tc>
      </w:tr>
      <w:tr>
        <w:tc>
          <w:tcPr/>
          <w:p>
            <w:pPr>
              <w:spacing w:after="0"/>
            </w:pPr>
            <w:r>
              <w:rPr>
                <w:rFonts w:ascii="Arial" w:hAnsi="Arial" w:cs="Arial"/>
                <w:sz w:val="17"/>
                <w:szCs w:val="17"/>
              </w:rPr>
              <w:t xml:space="preserve">The pay enquiry of 8 April 2024 to the reply of 9 April</w:t>
            </w:r>
          </w:p>
        </w:tc>
        <w:tc>
          <w:tcPr/>
          <w:p>
            <w:pPr>
              <w:spacing w:after="0"/>
            </w:pPr>
            <w:r>
              <w:rPr>
                <w:rFonts w:ascii="Arial" w:hAnsi="Arial" w:cs="Arial"/>
                <w:sz w:val="17"/>
                <w:szCs w:val="17"/>
              </w:rPr>
              <w:t xml:space="preserve">1 day</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242, 244</w:t>
            </w:r>
          </w:p>
        </w:tc>
      </w:tr>
      <w:tr>
        <w:tc>
          <w:tcPr/>
          <w:p>
            <w:pPr>
              <w:spacing w:after="0"/>
            </w:pPr>
            <w:r>
              <w:rPr>
                <w:rFonts w:ascii="Arial" w:hAnsi="Arial" w:cs="Arial"/>
                <w:sz w:val="17"/>
                <w:szCs w:val="17"/>
              </w:rPr>
              <w:t xml:space="preserve">That reply to the Appellant's follow-up of 24 April 2024</w:t>
            </w:r>
          </w:p>
        </w:tc>
        <w:tc>
          <w:tcPr/>
          <w:p>
            <w:pPr>
              <w:spacing w:after="0"/>
            </w:pPr>
            <w:r>
              <w:rPr>
                <w:rFonts w:ascii="Arial" w:hAnsi="Arial" w:cs="Arial"/>
                <w:sz w:val="17"/>
                <w:szCs w:val="17"/>
              </w:rPr>
              <w:t xml:space="preserve">15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244, 246</w:t>
            </w:r>
          </w:p>
        </w:tc>
      </w:tr>
      <w:tr>
        <w:tc>
          <w:tcPr/>
          <w:p>
            <w:pPr>
              <w:spacing w:after="0"/>
            </w:pPr>
            <w:r>
              <w:rPr>
                <w:rFonts w:ascii="Arial" w:hAnsi="Arial" w:cs="Arial"/>
                <w:sz w:val="17"/>
                <w:szCs w:val="17"/>
              </w:rPr>
              <w:t xml:space="preserve">That follow-up to the refusal of 1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246, 247</w:t>
            </w:r>
          </w:p>
        </w:tc>
      </w:tr>
      <w:tr>
        <w:tc>
          <w:tcPr/>
          <w:p>
            <w:pPr>
              <w:spacing w:after="0"/>
            </w:pPr>
            <w:r>
              <w:rPr>
                <w:rFonts w:ascii="Arial" w:hAnsi="Arial" w:cs="Arial"/>
                <w:sz w:val="17"/>
                <w:szCs w:val="17"/>
              </w:rPr>
              <w:t xml:space="preserve">The refusal of 1 May 2024 to Payroll's direction of 3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247, 185</w:t>
            </w:r>
          </w:p>
        </w:tc>
      </w:tr>
      <w:tr>
        <w:tc>
          <w:tcPr/>
          <w:p>
            <w:pPr>
              <w:spacing w:after="0"/>
            </w:pPr>
            <w:r>
              <w:rPr>
                <w:rFonts w:ascii="Arial" w:hAnsi="Arial" w:cs="Arial"/>
                <w:sz w:val="17"/>
                <w:szCs w:val="17"/>
              </w:rPr>
              <w:t xml:space="preserve">Payroll's direction to the Appellant's email to Payroll and the Manager, 10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191</w:t>
            </w:r>
          </w:p>
        </w:tc>
      </w:tr>
      <w:tr>
        <w:tc>
          <w:tcPr/>
          <w:p>
            <w:pPr>
              <w:spacing w:after="0"/>
            </w:pPr>
            <w:r>
              <w:rPr>
                <w:rFonts w:ascii="Arial" w:hAnsi="Arial" w:cs="Arial"/>
                <w:sz w:val="17"/>
                <w:szCs w:val="17"/>
              </w:rPr>
              <w:t xml:space="preserve">Payroll's direction to Payroll's email that nothing had been corrected, 13 May 2024</w:t>
            </w:r>
          </w:p>
        </w:tc>
        <w:tc>
          <w:tcPr/>
          <w:p>
            <w:pPr>
              <w:spacing w:after="0"/>
            </w:pPr>
            <w:r>
              <w:rPr>
                <w:rFonts w:ascii="Arial" w:hAnsi="Arial" w:cs="Arial"/>
                <w:sz w:val="17"/>
                <w:szCs w:val="17"/>
              </w:rPr>
              <w:t xml:space="preserve">10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193</w:t>
            </w:r>
          </w:p>
        </w:tc>
      </w:tr>
      <w:tr>
        <w:tc>
          <w:tcPr/>
          <w:p>
            <w:pPr>
              <w:spacing w:after="0"/>
            </w:pPr>
            <w:r>
              <w:rPr>
                <w:rFonts w:ascii="Arial" w:hAnsi="Arial" w:cs="Arial"/>
                <w:sz w:val="17"/>
                <w:szCs w:val="17"/>
              </w:rPr>
              <w:t xml:space="preserve">Payroll's direction to the Manager's "still waiting" email, 21 May 2024</w:t>
            </w:r>
          </w:p>
        </w:tc>
        <w:tc>
          <w:tcPr/>
          <w:p>
            <w:pPr>
              <w:spacing w:after="0"/>
            </w:pPr>
            <w:r>
              <w:rPr>
                <w:rFonts w:ascii="Arial" w:hAnsi="Arial" w:cs="Arial"/>
                <w:sz w:val="17"/>
                <w:szCs w:val="17"/>
              </w:rPr>
              <w:t xml:space="preserve">18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195</w:t>
            </w:r>
          </w:p>
        </w:tc>
      </w:tr>
      <w:tr>
        <w:tc>
          <w:tcPr/>
          <w:p>
            <w:pPr>
              <w:spacing w:after="0"/>
            </w:pPr>
            <w:r>
              <w:rPr>
                <w:rFonts w:ascii="Arial" w:hAnsi="Arial" w:cs="Arial"/>
                <w:sz w:val="17"/>
                <w:szCs w:val="17"/>
              </w:rPr>
              <w:t xml:space="preserve">Payroll's direction to the Manager's AVAC of 28 May 2024</w:t>
            </w:r>
          </w:p>
        </w:tc>
        <w:tc>
          <w:tcPr/>
          <w:p>
            <w:pPr>
              <w:spacing w:after="0"/>
            </w:pPr>
            <w:r>
              <w:rPr>
                <w:rFonts w:ascii="Arial" w:hAnsi="Arial" w:cs="Arial"/>
                <w:sz w:val="17"/>
                <w:szCs w:val="17"/>
              </w:rPr>
              <w:t xml:space="preserve">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197, 209</w:t>
            </w:r>
          </w:p>
        </w:tc>
      </w:tr>
      <w:tr>
        <w:tc>
          <w:tcPr/>
          <w:p>
            <w:pPr>
              <w:spacing w:after="0"/>
            </w:pPr>
            <w:r>
              <w:rPr>
                <w:rFonts w:ascii="Arial" w:hAnsi="Arial" w:cs="Arial"/>
                <w:sz w:val="17"/>
                <w:szCs w:val="17"/>
              </w:rPr>
              <w:t xml:space="preserve">That AVAC to its processing as "Part Completed", 30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203</w:t>
            </w:r>
          </w:p>
        </w:tc>
      </w:tr>
      <w:tr>
        <w:tc>
          <w:tcPr/>
          <w:p>
            <w:pPr>
              <w:spacing w:after="0"/>
            </w:pPr>
            <w:r>
              <w:rPr>
                <w:rFonts w:ascii="Arial" w:hAnsi="Arial" w:cs="Arial"/>
                <w:sz w:val="17"/>
                <w:szCs w:val="17"/>
              </w:rPr>
              <w:t xml:space="preserve">The shifts of 28 February, 30 March and 1 April 2024 to the payslip that adjusted them, pay date 5 June 2024</w:t>
            </w:r>
          </w:p>
        </w:tc>
        <w:tc>
          <w:tcPr/>
          <w:p>
            <w:pPr>
              <w:spacing w:after="0"/>
            </w:pPr>
            <w:r>
              <w:rPr>
                <w:rFonts w:ascii="Arial" w:hAnsi="Arial" w:cs="Arial"/>
                <w:sz w:val="17"/>
                <w:szCs w:val="17"/>
              </w:rPr>
              <w:t xml:space="preserve">98 days; 67 days; 65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187 to 189; Payroll disclosure, July 2025</w:t>
            </w:r>
          </w:p>
        </w:tc>
      </w:tr>
      <w:tr>
        <w:tc>
          <w:tcPr/>
          <w:p>
            <w:pPr>
              <w:spacing w:after="0"/>
            </w:pPr>
            <w:r>
              <w:rPr>
                <w:rFonts w:ascii="Arial" w:hAnsi="Arial" w:cs="Arial"/>
                <w:sz w:val="17"/>
                <w:szCs w:val="17"/>
              </w:rPr>
              <w:t xml:space="preserve">The shift of 9 February 2024 to the payslip carrying its correction, pay date 2 July 2025</w:t>
            </w:r>
          </w:p>
        </w:tc>
        <w:tc>
          <w:tcPr/>
          <w:p>
            <w:pPr>
              <w:spacing w:after="0"/>
            </w:pPr>
            <w:r>
              <w:rPr>
                <w:rFonts w:ascii="Arial" w:hAnsi="Arial" w:cs="Arial"/>
                <w:sz w:val="17"/>
                <w:szCs w:val="17"/>
              </w:rPr>
              <w:t xml:space="preserve">509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to 186; Payroll disclosure, July 2025</w:t>
            </w:r>
          </w:p>
        </w:tc>
      </w:tr>
      <w:tr>
        <w:tc>
          <w:tcPr/>
          <w:p>
            <w:pPr>
              <w:spacing w:after="0"/>
            </w:pPr>
            <w:r>
              <w:rPr>
                <w:rFonts w:ascii="Arial" w:hAnsi="Arial" w:cs="Arial"/>
                <w:sz w:val="17"/>
                <w:szCs w:val="17"/>
              </w:rPr>
              <w:t xml:space="preserve">The request for office hours, 15 May 2024 at 1:15 pm, to the request to retract it, 6:23 pm</w:t>
            </w:r>
          </w:p>
        </w:tc>
        <w:tc>
          <w:tcPr/>
          <w:p>
            <w:pPr>
              <w:spacing w:after="0"/>
            </w:pPr>
            <w:r>
              <w:rPr>
                <w:rFonts w:ascii="Arial" w:hAnsi="Arial" w:cs="Arial"/>
                <w:sz w:val="17"/>
                <w:szCs w:val="17"/>
              </w:rPr>
              <w:t xml:space="preserve">5 hours, 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76</w:t>
            </w:r>
          </w:p>
        </w:tc>
      </w:tr>
      <w:tr>
        <w:tc>
          <w:tcPr/>
          <w:p>
            <w:pPr>
              <w:spacing w:after="0"/>
            </w:pPr>
            <w:r>
              <w:rPr>
                <w:rFonts w:ascii="Arial" w:hAnsi="Arial" w:cs="Arial"/>
                <w:sz w:val="17"/>
                <w:szCs w:val="17"/>
              </w:rPr>
              <w:t xml:space="preserve">That request to the hours being stated to the department, 17 May 2024 at 9:30 am</w:t>
            </w:r>
          </w:p>
        </w:tc>
        <w:tc>
          <w:tcPr/>
          <w:p>
            <w:pPr>
              <w:spacing w:after="0"/>
            </w:pPr>
            <w:r>
              <w:rPr>
                <w:rFonts w:ascii="Arial" w:hAnsi="Arial" w:cs="Arial"/>
                <w:sz w:val="17"/>
                <w:szCs w:val="17"/>
              </w:rPr>
              <w:t xml:space="preserve">1 day, 20 hours, 15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81</w:t>
            </w:r>
          </w:p>
        </w:tc>
      </w:tr>
      <w:tr>
        <w:tc>
          <w:tcPr/>
          <w:p>
            <w:pPr>
              <w:spacing w:after="0"/>
            </w:pPr>
            <w:r>
              <w:rPr>
                <w:rFonts w:ascii="Arial" w:hAnsi="Arial" w:cs="Arial"/>
                <w:sz w:val="17"/>
                <w:szCs w:val="17"/>
              </w:rPr>
              <w:t xml:space="preserve">That request to the Director's question about which changes had concerned him, 21 May 2024 at 2:53 pm</w:t>
            </w:r>
          </w:p>
        </w:tc>
        <w:tc>
          <w:tcPr/>
          <w:p>
            <w:pPr>
              <w:spacing w:after="0"/>
            </w:pPr>
            <w:r>
              <w:rPr>
                <w:rFonts w:ascii="Arial" w:hAnsi="Arial" w:cs="Arial"/>
                <w:sz w:val="17"/>
                <w:szCs w:val="17"/>
              </w:rPr>
              <w:t xml:space="preserve">6 days, 1 hour, 38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79</w:t>
            </w:r>
          </w:p>
        </w:tc>
      </w:tr>
    </w:tbl>
    <w:p>
      <w:pPr>
        <w:spacing w:after="60"/>
      </w:pPr>
    </w:p>
    <w:p>
      <w:pPr>
        <w:spacing w:before="0" w:after="100" w:line="264" w:lineRule="auto"/>
        <w:ind w:left="284"/>
      </w:pPr>
      <w:r>
        <w:rPr>
          <w:rFonts w:ascii="Arial" w:hAnsi="Arial" w:cs="Arial"/>
          <w:i/>
          <w:sz w:val="18"/>
          <w:szCs w:val="18"/>
        </w:rPr>
        <w:t xml:space="preserve">Particulars: paragraphs 55, 62 to 64, 73 to 74, 76, 79, 81, 92, 97 to 98, 102 to 103, 124 to 125, 185 to 197, 203, 209, 242 to 247, 249 to 250 of the notice to admit facts served 28 August 2026, admitted 8 September 2026; the Respondent's payroll disclosure of July 2025 (Part B.7.5).</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either person recorded in the leave history was a Band 9 delegate at any relevant time; the identity of the person who exercised the sub-delegated power in respect of Process Reference 15480560; or 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129 to 131, 142, 150 to 153, 166, 180 to 181, 213, 216, 234, 250, 269 to 273, 300 to 303 of the notice to admit facts served 28 August 2026, admitted 8 September 2026. Paragraph 154 of that notice is not admitted.</w:t>
      </w:r>
    </w:p>
    <w:p>
      <w:pPr>
        <w:keepNext/>
        <w:spacing w:before="180" w:after="80" w:line="264" w:lineRule="auto"/>
      </w:pPr>
      <w:r>
        <w:rPr>
          <w:rFonts w:ascii="Arial" w:hAnsi="Arial" w:cs="Arial"/>
          <w:b/>
          <w:sz w:val="22"/>
          <w:szCs w:val="22"/>
        </w:rPr>
        <w:t xml:space="preserve">6. The Respondent's notified evidence, served 24 September 2026</w:t>
      </w:r>
    </w:p>
    <w:p>
      <w:pPr>
        <w:spacing w:before="0" w:after="100" w:line="264" w:lineRule="auto"/>
      </w:pPr>
      <w:r>
        <w:rPr>
          <w:rFonts w:ascii="Arial" w:hAnsi="Arial" w:cs="Arial"/>
          <w:sz w:val="20"/>
          <w:szCs w:val="20"/>
        </w:rPr>
        <w:t xml:space="preserve">On 24 September 2026 the Respondent served outlines of the evidence of Ms Taylor, Ms Reese, Ms Wright and Ms Earl. An outline is not evidence. The statements below are set out as notice of the Respondent's case, so that the issues are defined before the hearing. They are relied on only as the Respondent's own description of the matters they concern. The Appellant will ask each witness to confirm them.</w:t>
      </w:r>
    </w:p>
    <w:p>
      <w:pPr>
        <w:spacing w:before="0" w:after="100" w:line="264" w:lineRule="auto"/>
      </w:pPr>
      <w:r>
        <w:rPr>
          <w:rFonts w:ascii="Arial" w:hAnsi="Arial" w:cs="Arial"/>
          <w:b/>
          <w:sz w:val="20"/>
          <w:szCs w:val="20"/>
        </w:rPr>
        <w:t xml:space="preserve">6.1 Ms Taylor. </w:t>
      </w:r>
      <w:r>
        <w:rPr>
          <w:rFonts w:ascii="Arial" w:hAnsi="Arial" w:cs="Arial"/>
          <w:sz w:val="20"/>
          <w:szCs w:val="20"/>
        </w:rPr>
        <w:t xml:space="preserve">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spacing w:before="0" w:after="100" w:line="264" w:lineRule="auto"/>
      </w:pPr>
      <w:r>
        <w:rPr>
          <w:rFonts w:ascii="Arial" w:hAnsi="Arial" w:cs="Arial"/>
          <w:b/>
          <w:sz w:val="20"/>
          <w:szCs w:val="20"/>
        </w:rPr>
        <w:t xml:space="preserve">6.2 Ms Reese. </w:t>
      </w:r>
      <w:r>
        <w:rPr>
          <w:rFonts w:ascii="Arial" w:hAnsi="Arial" w:cs="Arial"/>
          <w:sz w:val="20"/>
          <w:szCs w:val="20"/>
        </w:rPr>
        <w:t xml:space="preserve">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spacing w:before="0" w:after="100" w:line="264" w:lineRule="auto"/>
      </w:pPr>
      <w:r>
        <w:rPr>
          <w:rFonts w:ascii="Arial" w:hAnsi="Arial" w:cs="Arial"/>
          <w:b/>
          <w:sz w:val="20"/>
          <w:szCs w:val="20"/>
        </w:rPr>
        <w:t xml:space="preserve">6.3 Ms Wright (Payroll). </w:t>
      </w:r>
      <w:r>
        <w:rPr>
          <w:rFonts w:ascii="Arial" w:hAnsi="Arial" w:cs="Arial"/>
          <w:sz w:val="20"/>
          <w:szCs w:val="20"/>
        </w:rPr>
        <w:t xml:space="preserve">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6.4 Ms Earl (Payroll). </w:t>
      </w:r>
      <w:r>
        <w:rPr>
          <w:rFonts w:ascii="Arial" w:hAnsi="Arial" w:cs="Arial"/>
          <w:sz w:val="20"/>
          <w:szCs w:val="20"/>
        </w:rPr>
        <w:t xml:space="preserve">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an entry was first processed so as to "trigger an automatic hours reduction on his payslip" and was "later corrected"; and that from the roster the break of 17 to 18 March 2024 "was only seven hours, that he was rostered on ordinary hours rather than overtime at the time, and that he took paid sick leave on 19 March 2024".</w:t>
      </w:r>
    </w:p>
    <w:p>
      <w:pPr>
        <w:spacing w:before="0" w:after="100" w:line="264" w:lineRule="auto"/>
      </w:pPr>
      <w:r>
        <w:rPr>
          <w:rFonts w:ascii="Arial" w:hAnsi="Arial" w:cs="Arial"/>
          <w:b/>
          <w:sz w:val="20"/>
          <w:szCs w:val="20"/>
        </w:rPr>
        <w:t xml:space="preserve">6.5 Matters the outlines do not address. </w:t>
      </w:r>
      <w:r>
        <w:rPr>
          <w:rFonts w:ascii="Arial" w:hAnsi="Arial" w:cs="Arial"/>
          <w:sz w:val="20"/>
          <w:szCs w:val="20"/>
        </w:rPr>
        <w:t xml:space="preserve">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w:t>
      </w:r>
    </w:p>
    <w:p>
      <w:pPr>
        <w:keepNext/>
        <w:spacing w:before="180" w:after="80" w:line="264" w:lineRule="auto"/>
      </w:pPr>
      <w:r>
        <w:rPr>
          <w:rFonts w:ascii="Arial" w:hAnsi="Arial" w:cs="Arial"/>
          <w:b/>
          <w:sz w:val="22"/>
          <w:szCs w:val="22"/>
        </w:rPr>
        <w:t xml:space="preserve">7. The documents at Annexure A, and their status</w:t>
      </w:r>
    </w:p>
    <w:p>
      <w:pPr>
        <w:spacing w:before="0" w:after="100" w:line="264" w:lineRule="auto"/>
      </w:pPr>
      <w:r>
        <w:rPr>
          <w:rFonts w:ascii="Arial" w:hAnsi="Arial" w:cs="Arial"/>
          <w:sz w:val="20"/>
          <w:szCs w:val="20"/>
        </w:rP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every one of the 14 were admitted on 8 September 2026 to the extent set out in Part B; what remains in dispute is the authenticity of the copies, not their content.</w:t>
      </w:r>
    </w:p>
    <w:p>
      <w:pPr>
        <w:spacing w:before="0" w:after="100" w:line="264" w:lineRule="auto"/>
      </w:pPr>
      <w:r>
        <w:rPr>
          <w:rFonts w:ascii="Arial" w:hAnsi="Arial" w:cs="Arial"/>
          <w:b/>
          <w:sz w:val="20"/>
          <w:szCs w:val="20"/>
        </w:rPr>
        <w:t xml:space="preserve">7.1 Admitted on 8 September 2026 (25 documents). </w:t>
      </w:r>
      <w:r>
        <w:rPr>
          <w:rFonts w:ascii="Arial" w:hAnsi="Arial" w:cs="Arial"/>
          <w:sz w:val="20"/>
          <w:szCs w:val="20"/>
        </w:rPr>
        <w:t xml:space="preserve">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spacing w:before="0" w:after="100" w:line="264" w:lineRule="auto"/>
      </w:pPr>
      <w:r>
        <w:rPr>
          <w:rFonts w:ascii="Arial" w:hAnsi="Arial" w:cs="Arial"/>
          <w:b/>
          <w:sz w:val="20"/>
          <w:szCs w:val="20"/>
        </w:rPr>
        <w:t xml:space="preserve">7.2 Disputed on 8 September 2026, confirmed by the Respondent on 23 September 2026 (4 documents). </w:t>
      </w:r>
      <w:r>
        <w:rPr>
          <w:rFonts w:ascii="Arial" w:hAnsi="Arial" w:cs="Arial"/>
          <w:sz w:val="20"/>
          <w:szCs w:val="20"/>
        </w:rPr>
        <w:t xml:space="preserve">Tab 6, Ms Taylor to Logan Switch and the Switchboard staff, "Afterhours Oncall Process - Switchboard", 15 April 2024, 12:39 pm (Stressor 1(e)). Tab 20, the letter of Metro South Hospital and Health Service to Commissioner Dwyer, reference K-LM26/729, 5 June 2026 (Stressors 1(p) and 3(l)). Tab 30, Ms Taylor to Logan Switch and the Switchboard staff, "What's Chloe's Hours?!", 23 August 2023, 2:18 pm (Stressor 1(i)). Tab 30A, Ms Taylor to Logan Switch, "Good morning Team.", 18 June 2024, 8:58 am (Stressor 1(i)). Each was confirmed from the Respondent's own appeal file.</w:t>
      </w:r>
    </w:p>
    <w:p>
      <w:pPr>
        <w:spacing w:before="0" w:after="100" w:line="264" w:lineRule="auto"/>
      </w:pPr>
      <w:r>
        <w:rPr>
          <w:rFonts w:ascii="Arial" w:hAnsi="Arial" w:cs="Arial"/>
          <w:b/>
          <w:sz w:val="20"/>
          <w:szCs w:val="20"/>
        </w:rPr>
        <w:t xml:space="preserve">7.3 Disputed on 8 September 2026 and referred by the Respondent to Metro South Health on 23 September 2026 (9 documents). </w:t>
      </w:r>
      <w:r>
        <w:rPr>
          <w:rFonts w:ascii="Arial" w:hAnsi="Arial" w:cs="Arial"/>
          <w:sz w:val="20"/>
          <w:szCs w:val="20"/>
        </w:rPr>
        <w:t xml:space="preserve">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spacing w:before="0" w:after="100" w:line="264" w:lineRule="auto"/>
      </w:pPr>
      <w:r>
        <w:rPr>
          <w:rFonts w:ascii="Arial" w:hAnsi="Arial" w:cs="Arial"/>
          <w:b/>
          <w:sz w:val="20"/>
          <w:szCs w:val="20"/>
        </w:rPr>
        <w:t xml:space="preserve">7.4 Disputed on 8 September 2026 and not addressed on 23 September 2026 (1 document). </w:t>
      </w:r>
      <w:r>
        <w:rPr>
          <w:rFonts w:ascii="Arial" w:hAnsi="Arial" w:cs="Arial"/>
          <w:sz w:val="20"/>
          <w:szCs w:val="20"/>
        </w:rPr>
        <w:t xml:space="preserve">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spacing w:before="0" w:after="100" w:line="264" w:lineRule="auto"/>
      </w:pPr>
      <w:r>
        <w:rPr>
          <w:rFonts w:ascii="Arial" w:hAnsi="Arial" w:cs="Arial"/>
          <w:b/>
          <w:sz w:val="20"/>
          <w:szCs w:val="20"/>
        </w:rPr>
        <w:t xml:space="preserve">7.5 Documents not at Annexure A that the Respondent's own List of Documents or letter identifies. </w:t>
      </w:r>
      <w:r>
        <w:rPr>
          <w:rFonts w:ascii="Arial" w:hAnsi="Arial" w:cs="Arial"/>
          <w:sz w:val="20"/>
          <w:szCs w:val="20"/>
        </w:rPr>
        <w:t xml:space="preserve">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 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 relied upon at Stressor 2(e)(i).</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nine reported occasions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no response is alleged for 23 days;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Review Unit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at [86]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B.1.11;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an award of up to 1.5 times those amounts under section 191(3), in total or for any item, having regard to: (a) the work involved: a record of 303 facts of which 298 are admitted, the documents at Annexure A to the notice to admit, non-party disclosure obtained under rule 64G, two notices to admit facts and a notice to admit documents, and the outlines of four witnesses served by the Respondent; and (b) the importance, difficulty and complexity of the matter: an appeal about a psychological injury under section 32(5)(a), which requires each pleaded circumstance to be classified, a finding on the reasonableness of each that is management action, and the weighing of the whole.</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______________________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