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w:t>
      </w:r>
      <w:r>
        <w:rPr>
          <w:rFonts w:ascii="Arial" w:hAnsi="Arial" w:cs="Arial"/>
          <w:b w:val="0"/>
          <w:sz w:val="19"/>
          <w:szCs w:val="19"/>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to file and serve the enclosed Second Amended Statement of Facts and Contentions (Form 9A), under section 451(2) of the Industrial Relations Act 2016. A copy goes to the Respondent with this letter, and its consent is sought. Since the Amended Form 9A of 7 April 2026, the Respondent has admitted 298 of the 303 facts in the Appellant's notice of 28 August 2026, and has admitted or since confirmed 29 of the 39 documents behind them. The amendment accepts that the onus of proof is on the Appellant, withdraws the descriptions of conduct used in the earlier pleading, and adds no new stressor or allegation. No hearing date has been set, so the amendment is sought before either party prepares for hearing on the earlier pleading. The Appellant does not oppose the Respondent having time to amend its own statement of facts and contentions.</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its list of 24 September 2026 names four witnesses, Ms Taylor, Ms Reese, Ms Wright and Ms Earl, described as "lay" witnesses, and it served outlines of their evidence.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taken to be authentic and received at hearing.</w:t>
      </w:r>
    </w:p>
    <w:p>
      <w:pPr>
        <w:keepNext/>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keepNext/>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pageBreakBefore/>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23 September 2026 does not address.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and 2(l) to 2(n); and 3(b) to 3(h). The others, 1(a), 1(c), 1(e), 1(i), 1(j), 2(j),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recorded his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