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conditions in which the work was carried 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Particulars 1(a) to 1(l);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stated that her hours would vary; no fixed office hours stated to staff for approximately nine months.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on-call process, effective the day it was notified; no listed record of consultation.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checking process for data entry, introduced following data entry errors.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Nine occasions of calls reaching the wrong team, including a MET-call enquiry, with the complaints and feedback reaching the Appellant from the registrars; the Manager's first reply after 5 days, 18 hours and 14 minutes; a new process sent to staff on 9 May.</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written request for the Manager's office hours at 1:15 pm; the Director's request that he retract it, 5 hours and 8 minutes later.</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Remuneration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topped up from the Appellant's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material provided four times; two declines; final approval after ten days; the Respondent pleads that the attachments were present.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again topped up from the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Too many ordinary shifts recorded, reducing wages; one shift needed to be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On Payroll's later account, the public holiday claim was submitted late.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Hours over the contracted 76, again requiring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pay enquiry, his follow-up after more than two weeks, and a refusal on 1 May with the public holiday review still open.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copying the Appellant, directed the Manager to submit an AVAC for each of four fortnights.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followed up; Payroll replied that nothing had been corrected and referred him back to the line manager.</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wrote that she was still waiting for payroll confirmation.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Validation request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asked the Appellant to sign a validation form for claims older than three months.</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roster and fatigue</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next day recorded as the Appellant's own sick leave (7.60 hours); the Respondent says no fatigue leave was due.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fatigue enquiry answered after 23 days with a refusal relying on the 2020 agreement, with a note that he could end it "going forward".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roster line error acknowledged; no contact about alternative shifts alleged.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raised the fatigue toolkit without feedback; the Director said HR advice was being sought.</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Manager's first reply was sent on 9 May at 9:20 am, five days, eighteen hours and fourteen minutes after the first email.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 The Appellant's evidence is that he received the complaints about the misdirected calls at the time, and saw the Registrar's emails about them, and that the feedback he received about those calls came from the registrars themselves, not from management.</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she had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pPr>
      <w:r>
        <w:rPr>
          <w:rFonts w:ascii="Arial" w:hAnsi="Arial" w:cs="Arial"/>
          <w:sz w:val="20"/>
          <w:szCs w:val="20"/>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 xml:space="preserve">The Respondent's pleaded answer, including paragraph 27 of its statement, is at Part C, paragraph 10. [¶¶ 300 to 303] The matters at 1(a), 1(c), 1(e), 1(i) and 1(j),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 record only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 record of when corrected (5 June 2024). </w:t>
      </w:r>
      <w:r>
        <w:rPr>
          <w:rFonts w:ascii="Arial" w:hAnsi="Arial" w:cs="Arial"/>
          <w:b w:val="0"/>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pPr>
      <w:r>
        <w:rPr>
          <w:rFonts w:ascii="Arial" w:hAnsi="Arial" w:cs="Arial"/>
          <w:b/>
          <w:sz w:val="20"/>
          <w:szCs w:val="20"/>
        </w:rPr>
        <w:t xml:space="preserve">2(o) Later correction of the 9 February shift - record of when corrected (30 June to 2 July 2025). </w:t>
      </w:r>
      <w:r>
        <w:rPr>
          <w:rFonts w:ascii="Arial" w:hAnsi="Arial" w:cs="Arial"/>
          <w:b w:val="0"/>
          <w:sz w:val="20"/>
          <w:szCs w:val="20"/>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pPr>
      <w:r>
        <w:rPr>
          <w:rFonts w:ascii="Arial" w:hAnsi="Arial" w:cs="Arial"/>
          <w:b/>
          <w:sz w:val="20"/>
          <w:szCs w:val="20"/>
        </w:rPr>
        <w:t xml:space="preserve">3(g) Risk rating and roster decision recorded - internal record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 internal record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Manager's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Manager's reply at 4:30 pm, two hours after the office hours she had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 xml:space="preserve">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to 3(h). On those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w:t>
      </w:r>
      <w:r>
        <w:rPr>
          <w:rFonts w:ascii="Arial" w:hAnsi="Arial" w:cs="Arial"/>
          <w:sz w:val="20"/>
          <w:szCs w:val="20"/>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pPr>
      <w:r>
        <w:rPr>
          <w:rFonts w:ascii="Arial" w:hAnsi="Arial" w:cs="Arial"/>
          <w:b/>
          <w:sz w:val="20"/>
          <w:szCs w:val="20"/>
        </w:rPr>
        <w:t xml:space="preserve">3.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Respondent pay the Appellant's costs of the hearing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hearing,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