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line="264" w:lineRule="auto"/>
        <w:jc w:val="center"/>
      </w:pPr>
      <w:r>
        <w:rPr>
          <w:rFonts w:ascii="Arial" w:hAnsi="Arial" w:cs="Arial"/>
          <w:b/>
          <w:sz w:val="28"/>
          <w:szCs w:val="28"/>
        </w:rPr>
        <w:t>SECOND AMENDED STATEMENT OF FACTS AND CONTENTIONS (FORM 9A)</w:t>
      </w:r>
    </w:p>
    <w:p>
      <w:pPr>
        <w:spacing w:before="0" w:after="200" w:line="264" w:lineRule="auto"/>
        <w:jc w:val="center"/>
      </w:pPr>
      <w:r>
        <w:rPr>
          <w:rFonts w:ascii="Arial" w:hAnsi="Arial" w:cs="Arial"/>
          <w:sz w:val="18"/>
          <w:szCs w:val="18"/>
        </w:rPr>
        <w:t>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spacing w:before="240" w:after="100" w:line="264" w:lineRule="auto"/>
      </w:pPr>
      <w:r>
        <w:rPr>
          <w:rFonts w:ascii="Arial" w:hAnsi="Arial" w:cs="Arial"/>
          <w:b/>
          <w:sz w:val="24"/>
          <w:szCs w:val="24"/>
        </w:rPr>
        <w:t>PART A</w:t>
      </w:r>
    </w:p>
    <w:p>
      <w:pPr>
        <w:spacing w:before="0" w:after="100" w:line="264" w:lineRule="auto"/>
      </w:pPr>
      <w:r>
        <w:rPr>
          <w:rFonts w:ascii="Arial" w:hAnsi="Arial" w:cs="Arial"/>
          <w:sz w:val="20"/>
          <w:szCs w:val="20"/>
        </w:rPr>
        <w:t>Appellant: Cory Lea Shepherd. Employer: Metro South Hospital and Health Service,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arose out of, or in the course of, that employment, and the employment was a significant contributing factor to it: section 32(1) of the Act.</w:t>
      </w:r>
    </w:p>
    <w:p>
      <w:pPr>
        <w:keepNext/>
        <w:spacing w:before="240" w:after="100" w:line="264" w:lineRule="auto"/>
      </w:pPr>
      <w:r>
        <w:rPr>
          <w:rFonts w:ascii="Arial" w:hAnsi="Arial" w:cs="Arial"/>
          <w:b/>
          <w:sz w:val="24"/>
          <w:szCs w:val="24"/>
        </w:rPr>
        <w:t>PART B - MATERIAL FACTS</w:t>
      </w:r>
    </w:p>
    <w:p>
      <w:pPr>
        <w:spacing w:before="0" w:after="100" w:line="264" w:lineRule="auto"/>
      </w:pPr>
      <w:r>
        <w:rPr>
          <w:rFonts w:ascii="Arial" w:hAnsi="Arial" w:cs="Arial"/>
          <w:sz w:val="20"/>
          <w:szCs w:val="20"/>
        </w:rPr>
        <w:t>Each fact set out below that carries a paragraph number in square brackets was admitted by the Respondent, to the extent recorded in its response of 8 September 2026. A statement without a bracket is drawn from a document identified in the Schedule of Documents enclosed with the Appellant's letter of 1 October 2026 (the Schedule) or is the Appellant's own evidence; the register at Tab 31, the call statistics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spacing w:before="80" w:after="140" w:line="264" w:lineRule="auto"/>
      </w:pPr>
      <w:r>
        <w:rPr>
          <w:rFonts w:ascii="Arial" w:hAnsi="Arial" w:cs="Arial"/>
          <w:b/>
          <w:sz w:val="20"/>
          <w:szCs w:val="20"/>
        </w:rPr>
        <w:t xml:space="preserve">How this Part is arranged. </w:t>
      </w:r>
      <w:r>
        <w:rPr>
          <w:rFonts w:ascii="Arial" w:hAnsi="Arial" w:cs="Arial"/>
          <w:b w:val="0"/>
          <w:sz w:val="20"/>
          <w:szCs w:val="20"/>
        </w:rPr>
        <w:t>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 The numbered themes organise the case; the lettered particulars identify dated events or connected event sequences. Unlettered paragraphs state duties, standards, supporting records, medical links and the pleaded response. Context-only and post-injury material retains that limited purpose.</w:t>
      </w:r>
    </w:p>
    <w:p>
      <w:pPr>
        <w:keepNext/>
        <w:spacing w:before="180" w:after="80" w:line="264" w:lineRule="auto"/>
      </w:pPr>
      <w:r>
        <w:rPr>
          <w:rFonts w:ascii="Arial" w:hAnsi="Arial" w:cs="Arial"/>
          <w:b/>
          <w:sz w:val="22"/>
          <w:szCs w:val="22"/>
        </w:rPr>
        <w:t>1. The starting point - the role, and the medical record</w:t>
      </w:r>
    </w:p>
    <w:p>
      <w:pPr>
        <w:spacing w:before="0" w:after="100" w:line="264" w:lineRule="auto"/>
      </w:pPr>
      <w:r>
        <w:rPr>
          <w:rFonts w:ascii="Arial" w:hAnsi="Arial" w:cs="Arial"/>
          <w:sz w:val="20"/>
          <w:szCs w:val="20"/>
        </w:rPr>
        <w:t>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w:t>
      </w:r>
    </w:p>
    <w:p>
      <w:pPr>
        <w:spacing w:before="0" w:after="100" w:line="264" w:lineRule="auto"/>
      </w:pPr>
      <w:r>
        <w:rPr>
          <w:rFonts w:ascii="Arial" w:hAnsi="Arial" w:cs="Arial"/>
          <w:b/>
          <w:sz w:val="20"/>
          <w:szCs w:val="20"/>
        </w:rPr>
        <w:t xml:space="preserve">1.3 The referral of 16 May 2024. </w:t>
      </w:r>
      <w:r>
        <w:rPr>
          <w:rFonts w:ascii="Arial" w:hAnsi="Arial" w:cs="Arial"/>
          <w:b w:val="0"/>
          <w:sz w:val="20"/>
          <w:szCs w:val="20"/>
        </w:rPr>
        <w:t>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1(l). [¶¶ 76 to 77]</w:t>
      </w:r>
    </w:p>
    <w:p>
      <w:pPr>
        <w:spacing w:before="0" w:after="100" w:line="264" w:lineRule="auto"/>
        <w:ind w:left="284"/>
      </w:pPr>
      <w:r>
        <w:rPr>
          <w:rFonts w:ascii="Arial" w:hAnsi="Arial" w:cs="Arial"/>
          <w:i/>
          <w:sz w:val="18"/>
          <w:szCs w:val="18"/>
        </w:rPr>
        <w:t>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pPr>
      <w:r>
        <w:rPr>
          <w:rFonts w:ascii="Arial" w:hAnsi="Arial" w:cs="Arial"/>
          <w:b/>
          <w:sz w:val="20"/>
          <w:szCs w:val="20"/>
        </w:rPr>
        <w:t xml:space="preserve">1.7 The report of 13 February 2025, its footer, and the author's position. </w:t>
      </w:r>
      <w:r>
        <w:rPr>
          <w:rFonts w:ascii="Arial" w:hAnsi="Arial" w:cs="Arial"/>
          <w:sz w:val="20"/>
          <w:szCs w:val="20"/>
        </w:rPr>
        <w:t>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pPr>
      <w:r>
        <w:rPr>
          <w:rFonts w:ascii="Arial" w:hAnsi="Arial" w:cs="Arial"/>
          <w:i/>
          <w:sz w:val="18"/>
          <w:szCs w:val="18"/>
        </w:rPr>
        <w:t>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Records still to come, and the finding in the decision under appeal. </w:t>
      </w:r>
      <w:r>
        <w:rPr>
          <w:rFonts w:ascii="Arial" w:hAnsi="Arial" w:cs="Arial"/>
          <w:sz w:val="20"/>
          <w:szCs w:val="20"/>
        </w:rPr>
        <w:t>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1.9 The medical evidence at hearing. </w:t>
      </w:r>
      <w:r>
        <w:rPr>
          <w:rFonts w:ascii="Arial" w:hAnsi="Arial" w:cs="Arial"/>
          <w:sz w:val="20"/>
          <w:szCs w:val="20"/>
        </w:rPr>
        <w:t>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2. The stressors that caused the injury (the whole course of conduct, June 2023 - June 2024)</w:t>
      </w:r>
    </w:p>
    <w:p>
      <w:pPr>
        <w:spacing w:before="0" w:after="100" w:line="264" w:lineRule="auto"/>
      </w:pPr>
      <w:r>
        <w:rPr>
          <w:rFonts w:ascii="Arial" w:hAnsi="Arial" w:cs="Arial"/>
          <w:b/>
          <w:sz w:val="20"/>
          <w:szCs w:val="20"/>
        </w:rPr>
        <w:t xml:space="preserve">List of stressors. </w:t>
      </w:r>
      <w:r>
        <w:rPr>
          <w:rFonts w:ascii="Arial" w:hAnsi="Arial" w:cs="Arial"/>
          <w:b w:val="0"/>
          <w:sz w:val="20"/>
          <w:szCs w:val="20"/>
        </w:rPr>
        <w:t>WC/2024/227 - Cory Lea Shepherd v Workers' Compensation Regulator. Set out for the purposes of Part 4.8 of the Workers' Compensation Appeal Guide. There are three stressors. Each is pleaded below by dated particulars, lettered in date order; the causal particulars are identified at the head of each stressor, and the other particulars are context. An index of the particulars is at Part 3 of the Schedule enclosed with the Appellant's letter; it adds no stressor.</w:t>
      </w:r>
      <w:r>
        <w:rPr>
          <w:rStyle w:val="CommentReference"/>
        </w:rPr>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578"/>
        <w:gridCol w:w="1927"/>
        <w:gridCol w:w="1927"/>
        <w:gridCol w:w="5204"/>
      </w:tblGrid>
      <w:tr>
        <w:trPr>
          <w:tblHeader/>
          <w:tblHeader/>
        </w:trPr>
        <w:tc>
          <w:tcPr>
            <w:tcW w:type="dxa" w:w="652"/>
            <w:shd w:val="clear" w:color="auto" w:fill="E8E8E8"/>
            <w:tcMar>
              <w:top w:w="65" w:type="dxa"/>
              <w:left w:w="80" w:type="dxa"/>
              <w:bottom w:w="65" w:type="dxa"/>
              <w:right w:w="80" w:type="dxa"/>
            </w:tcMar>
          </w:tcPr>
          <w:p>
            <w:r>
              <w:rPr>
                <w:rFonts w:ascii="Arial" w:hAnsi="Arial"/>
                <w:b/>
                <w:color w:val="000000"/>
                <w:sz w:val="18"/>
              </w:rPr>
              <w:t xml:space="preserve">No.</w:t>
            </w:r>
          </w:p>
        </w:tc>
        <w:tc>
          <w:tcPr>
            <w:tcW w:type="dxa" w:w="1616"/>
            <w:shd w:val="clear" w:color="auto" w:fill="E8E8E8"/>
            <w:tcMar>
              <w:top w:w="65" w:type="dxa"/>
              <w:left w:w="80" w:type="dxa"/>
              <w:bottom w:w="65" w:type="dxa"/>
              <w:right w:w="80" w:type="dxa"/>
            </w:tcMar>
          </w:tcPr>
          <w:p>
            <w:r>
              <w:rPr>
                <w:rFonts w:ascii="Arial" w:hAnsi="Arial"/>
                <w:b/>
                <w:color w:val="000000"/>
                <w:sz w:val="18"/>
              </w:rPr>
              <w:t xml:space="preserve">Date or date range</w:t>
            </w:r>
          </w:p>
        </w:tc>
        <w:tc>
          <w:tcPr>
            <w:tcW w:type="dxa" w:w="2296"/>
            <w:shd w:val="clear" w:color="auto" w:fill="E8E8E8"/>
            <w:tcMar>
              <w:top w:w="65" w:type="dxa"/>
              <w:left w:w="80" w:type="dxa"/>
              <w:bottom w:w="65" w:type="dxa"/>
              <w:right w:w="80" w:type="dxa"/>
            </w:tcMar>
          </w:tcPr>
          <w:p>
            <w:r>
              <w:rPr>
                <w:rFonts w:ascii="Arial" w:hAnsi="Arial"/>
                <w:b/>
                <w:color w:val="000000"/>
                <w:sz w:val="18"/>
              </w:rPr>
              <w:t xml:space="preserve">Title</w:t>
            </w:r>
          </w:p>
        </w:tc>
        <w:tc>
          <w:tcPr>
            <w:tcW w:type="dxa" w:w="5017"/>
            <w:shd w:val="clear" w:color="auto" w:fill="E8E8E8"/>
            <w:tcMar>
              <w:top w:w="65" w:type="dxa"/>
              <w:left w:w="80" w:type="dxa"/>
              <w:bottom w:w="65" w:type="dxa"/>
              <w:right w:w="80" w:type="dxa"/>
            </w:tcMar>
          </w:tcPr>
          <w:p>
            <w:r>
              <w:rPr>
                <w:rFonts w:ascii="Arial" w:hAnsi="Arial"/>
                <w:b/>
                <w:color w:val="000000"/>
                <w:sz w:val="18"/>
              </w:rPr>
              <w:t xml:space="preserve">Description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 xml:space="preserve">1</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18 July 2023 to 18 June 2024; context from 6 June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The conditions in which the work was carried 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Database access removed and not restored; changes to process made effective the day they were notified, with no listed record of consultation; emergency calls misdirected and a directory entry not corrected; fixed office hours not stated for approximately nine months, and the written request for them met with a request to retract. Particulars 1(a) to 1(l); causal particulars 1(b), 1(d), 1(f) to 1(h), 1(k) and 1(l).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 xml:space="preserve">2</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9 February to 5 June 2024; later correction to 2 July 2025</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Remuneration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Pay wrong in four fortnights; Payroll's direction of 3 May 2024 not actioned at 13 May, still awaited on 21 May, lodged 28 May and recorded "Part Completed"; a paid leave request declined twice, with the Respondent acknowledging that the attachments were present. Particulars 2(a) to 2(o); causal particulars 2(a) to 2(i) and 2(l) to 2(n).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 xml:space="preserve">3</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17 March to 20 May 2024; context from 7 August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The roster and fatigue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A seven-hour break rostered in that role against a minimum of ten hours, or eight by written agreement, with no staff-initiated swap alleged; sick leave the next day; the fatigue enquiry answered after 23 days with a refusal; the roster decision recorded on 10 May 2024; no fatigue risk management at the Switchboard before 30 June 2024; and the Respondent's own review finding that the rostering was unreasonable management action. Particulars 3(a) to 3(h); causal particulars 3(b) to 3(h).</w:t>
            </w:r>
          </w:p>
        </w:tc>
      </w:tr>
    </w:tbl>
    <w:p>
      <w:pPr>
        <w:spacing w:after="60"/>
      </w:pPr>
    </w:p>
    <w:p>
      <w:pPr>
        <w:spacing w:before="80" w:after="140" w:line="264" w:lineRule="auto"/>
      </w:pPr>
      <w:r>
        <w:rPr>
          <w:rFonts w:ascii="Arial" w:hAnsi="Arial" w:cs="Arial"/>
          <w:b/>
          <w:sz w:val="20"/>
          <w:szCs w:val="20"/>
        </w:rPr>
        <w:t xml:space="preserve">In summary. </w:t>
      </w:r>
      <w:r>
        <w:rPr>
          <w:rFonts w:ascii="Arial" w:hAnsi="Arial" w:cs="Arial"/>
          <w:b w:val="0"/>
          <w:sz w:val="20"/>
          <w:szCs w:val="20"/>
        </w:rPr>
        <w:t>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fixed office hours not stated for approximately nine months [¶¶ 71 to 73]. Stressor 2: pay wrong in four fortnights [¶¶ 185 to 189]; Payroll's direction of 3 May 2024 not actioned at 13 May [¶ 193], still awaited on 21 May [¶ 195], lodged 28 May and recorded "Part Completed" [¶ 203]; and a paid leave request declined twice, with the Respondent acknowledging that attachments were present when the later decline was made [¶¶ 116, 118, 134]. Stressor 3: a seven-hour break rostered in that role [¶ 284] against a minimum of ten hours, or eight by written agreement [¶ 285], the agreement’s scope disputed by reference to the later HR email and no swap alleged [¶¶ 225, 234]; the fatigue enquiry answered after 23 days with a refusal [¶¶ 247, 249]; the employer’s statement that fatigue risk management assessment was implemented after 30 June 2024, read with the May risk-matrix discussion [¶¶ 264, 269 to 271]; and the Respondent's own review finding that the rostering was unreasonable management action [¶ 260].</w:t>
      </w:r>
    </w:p>
    <w:p>
      <w:pPr>
        <w:keepNext/>
        <w:pageBreakBefore/>
        <w:spacing w:before="0" w:after="100" w:line="264" w:lineRule="auto"/>
      </w:pPr>
      <w:r>
        <w:rPr>
          <w:rFonts w:ascii="Arial" w:hAnsi="Arial" w:cs="Arial"/>
          <w:b/>
          <w:sz w:val="22"/>
          <w:szCs w:val="22"/>
        </w:rPr>
        <w:t>STRESSOR 1 - THE CONDITIONS IN WHICH THE WORK WAS CARRIED ON</w:t>
      </w:r>
    </w:p>
    <w:p>
      <w:pPr>
        <w:spacing w:before="0" w:after="100" w:line="264" w:lineRule="auto"/>
      </w:pPr>
      <w:r>
        <w:rPr>
          <w:rFonts w:ascii="Arial" w:hAnsi="Arial" w:cs="Arial"/>
          <w:b/>
          <w:sz w:val="20"/>
          <w:szCs w:val="20"/>
        </w:rPr>
        <w:t xml:space="preserve">Scope of Stressor 1. </w:t>
      </w:r>
      <w:r>
        <w:rPr>
          <w:rFonts w:ascii="Arial" w:hAnsi="Arial" w:cs="Arial"/>
          <w:b w:val="0"/>
          <w:sz w:val="20"/>
          <w:szCs w:val="20"/>
        </w:rPr>
        <w:t>The causal particulars are 1(b), 1(d), 1(f) to 1(h), 1(k) and 1(l). Particulars 1(a), 1(c), 1(e), 1(i) and 1(j) preserve the contextual sequences in the existing pleading. They are not added as separate causes within this theme. Each dated particular is read with the duties and standards below.</w:t>
      </w:r>
    </w:p>
    <w:p>
      <w:pPr>
        <w:spacing w:before="0" w:after="100" w:line="264" w:lineRule="auto"/>
      </w:pPr>
      <w:r>
        <w:rPr>
          <w:rFonts w:ascii="Arial" w:hAnsi="Arial" w:cs="Arial"/>
          <w:b/>
          <w:sz w:val="20"/>
          <w:szCs w:val="20"/>
        </w:rPr>
        <w:t xml:space="preserve">The duty to keep the contact information accurate. </w:t>
      </w:r>
      <w:r>
        <w:rPr>
          <w:rFonts w:ascii="Arial" w:hAnsi="Arial" w:cs="Arial"/>
          <w:b w:val="0"/>
          <w:sz w:val="20"/>
          <w:szCs w:val="20"/>
        </w:rPr>
        <w:t>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b w:val="0"/>
          <w:sz w:val="20"/>
          <w:szCs w:val="20"/>
        </w:rPr>
        <w:t>A further key responsibility is to support hospital staff in the allocation, coordination and fault repair of all pager units, including maintaining the database and registers with accurate and current information. [¶ 7] The operational particulars below are pleaded against that duty.</w:t>
      </w:r>
    </w:p>
    <w:p>
      <w:pPr>
        <w:spacing w:before="0" w:after="100" w:line="264" w:lineRule="auto"/>
      </w:pPr>
      <w:r>
        <w:rPr>
          <w:rFonts w:ascii="Arial" w:hAnsi="Arial" w:cs="Arial"/>
          <w:b/>
          <w:sz w:val="20"/>
          <w:szCs w:val="20"/>
        </w:rPr>
        <w:t xml:space="preserve">How critical the function is, as the Respondent admits. </w:t>
      </w:r>
      <w:r>
        <w:rPr>
          <w:rFonts w:ascii="Arial" w:hAnsi="Arial" w:cs="Arial"/>
          <w:b w:val="0"/>
          <w:sz w:val="20"/>
          <w:szCs w:val="20"/>
        </w:rPr>
        <w:t>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pleaded at 1(b). Its operation in May 2024 is pleaded at 1(h) and 1(k).</w:t>
      </w:r>
    </w:p>
    <w:p>
      <w:pPr>
        <w:spacing w:before="0" w:after="100" w:line="264" w:lineRule="auto"/>
      </w:pPr>
      <w:r>
        <w:rPr>
          <w:rFonts w:ascii="Arial" w:hAnsi="Arial" w:cs="Arial"/>
          <w:b/>
          <w:sz w:val="20"/>
          <w:szCs w:val="20"/>
        </w:rPr>
        <w:t xml:space="preserve">The duty to consult, and the absence of any record of consultation. </w:t>
      </w:r>
      <w:r>
        <w:rPr>
          <w:rFonts w:ascii="Arial" w:hAnsi="Arial" w:cs="Arial"/>
          <w:b w:val="0"/>
          <w:sz w:val="20"/>
          <w:szCs w:val="20"/>
        </w:rPr>
        <w:t>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b/>
          <w:sz w:val="20"/>
          <w:szCs w:val="20"/>
        </w:rPr>
        <w:t xml:space="preserve">The safety responsibilities of the position. </w:t>
      </w:r>
      <w:r>
        <w:rPr>
          <w:rFonts w:ascii="Arial" w:hAnsi="Arial" w:cs="Arial"/>
          <w:b w:val="0"/>
          <w:sz w:val="20"/>
          <w:szCs w:val="20"/>
        </w:rPr>
        <w:t>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b/>
          <w:sz w:val="20"/>
          <w:szCs w:val="20"/>
        </w:rPr>
        <w:t xml:space="preserve">1(a) Removal of the Communication Book entry (on or around 6 June 2023). </w:t>
      </w:r>
      <w:r>
        <w:rPr>
          <w:rFonts w:ascii="Arial" w:hAnsi="Arial" w:cs="Arial"/>
          <w:b w:val="0"/>
          <w:sz w:val="20"/>
          <w:szCs w:val="20"/>
        </w:rPr>
        <w:t>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1(b) Database access and the restricted correction process (18 July 2023 to 18 June 2024). </w:t>
      </w:r>
      <w:r>
        <w:rPr>
          <w:rFonts w:ascii="Arial" w:hAnsi="Arial" w:cs="Arial"/>
          <w:b w:val="0"/>
          <w:sz w:val="20"/>
          <w:szCs w:val="20"/>
        </w:rPr>
        <w:t>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She stated: "While I am fixing up the database and all of its entries, I will be removing everyone's access to the database." [¶ 40]</w:t>
      </w:r>
    </w:p>
    <w:p>
      <w:pPr>
        <w:spacing w:before="0" w:after="100" w:line="264" w:lineRule="auto"/>
      </w:pPr>
      <w:r>
        <w:rPr>
          <w:rFonts w:ascii="Arial" w:hAnsi="Arial" w:cs="Arial"/>
          <w:sz w:val="20"/>
          <w:szCs w:val="20"/>
        </w:rPr>
        <w:t>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The Respondent's own review decision records the same matters. [¶¶ 46 to 48]</w:t>
      </w:r>
    </w:p>
    <w:p>
      <w:pPr>
        <w:spacing w:before="0" w:after="100" w:line="264" w:lineRule="auto"/>
      </w:pPr>
      <w:r>
        <w:rPr>
          <w:rFonts w:ascii="Arial" w:hAnsi="Arial" w:cs="Arial"/>
          <w:b/>
          <w:sz w:val="20"/>
          <w:szCs w:val="20"/>
        </w:rPr>
        <w:t xml:space="preserve">The Respondent does not allege that access to the database was restored to the Appellant at any time before 18 June 2024. </w:t>
      </w:r>
      <w:r>
        <w:rPr>
          <w:rFonts w:ascii="Arial" w:hAnsi="Arial" w:cs="Arial"/>
          <w:b w:val="0"/>
          <w:sz w:val="20"/>
          <w:szCs w:val="20"/>
        </w:rPr>
        <w:t>[¶ 55] From 18 July 2023 to 18 June 2024 is eleven months. Nothing is alleged to have happened in that time to restore access. The duty described above remained on the position throughout that period.</w:t>
      </w:r>
    </w:p>
    <w:p>
      <w:pPr>
        <w:spacing w:before="0" w:after="100" w:line="264" w:lineRule="auto"/>
      </w:pPr>
      <w:r>
        <w:rPr>
          <w:rFonts w:ascii="Arial" w:hAnsi="Arial" w:cs="Arial"/>
          <w:b/>
          <w:sz w:val="20"/>
          <w:szCs w:val="20"/>
        </w:rPr>
        <w:t xml:space="preserve">The repair path, and its availability. </w:t>
      </w:r>
      <w:r>
        <w:rPr>
          <w:rFonts w:ascii="Arial" w:hAnsi="Arial" w:cs="Arial"/>
          <w:b w:val="0"/>
          <w:sz w:val="20"/>
          <w:szCs w:val="20"/>
        </w:rPr>
        <w:t>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How long an incorrect entry stayed uncorrected depended on when those two people were available.</w:t>
      </w:r>
    </w:p>
    <w:p>
      <w:pPr>
        <w:spacing w:before="0" w:after="100" w:line="264" w:lineRule="auto"/>
      </w:pPr>
      <w:r>
        <w:rPr>
          <w:rFonts w:ascii="Arial" w:hAnsi="Arial" w:cs="Arial"/>
          <w:b/>
          <w:sz w:val="20"/>
          <w:szCs w:val="20"/>
        </w:rPr>
        <w:t xml:space="preserve">1(c) Roster concerns and the move to full time (7 August to 16 October 2023). </w:t>
      </w:r>
      <w:r>
        <w:rPr>
          <w:rFonts w:ascii="Arial" w:hAnsi="Arial" w:cs="Arial"/>
          <w:b w:val="0"/>
          <w:sz w:val="20"/>
          <w:szCs w:val="20"/>
        </w:rPr>
        <w:t>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At 3:13 pm the Director replied. [¶ 158]</w:t>
      </w:r>
    </w:p>
    <w:p>
      <w:pPr>
        <w:spacing w:before="0" w:after="100" w:line="264" w:lineRule="auto"/>
      </w:pPr>
      <w:r>
        <w:rPr>
          <w:rFonts w:ascii="Arial" w:hAnsi="Arial" w:cs="Arial"/>
          <w:sz w:val="20"/>
          <w:szCs w:val="20"/>
        </w:rPr>
        <w:t xml:space="preserve">On 8 August 2023 at 4:15 pm the Director wrote regarding an additional shift to replace the shift not worked due to a rostering error. [¶ 28] On 8 August 2023 he confirmed that he would work the replacement shift and was looking to pick up another. [¶ 29]</w:t>
      </w:r>
    </w:p>
    <w:p>
      <w:pPr>
        <w:spacing w:before="0" w:after="100" w:line="264" w:lineRule="auto"/>
      </w:pPr>
      <w:r>
        <w:rPr>
          <w:rFonts w:ascii="Arial" w:hAnsi="Arial" w:cs="Arial"/>
          <w:sz w:val="20"/>
          <w:szCs w:val="20"/>
        </w:rPr>
        <w:t>On 29 August 2023 she sent HR Policy E12, and on 4 September 2023 the Appellant replied. [¶¶ 160 to 161]</w:t>
      </w:r>
    </w:p>
    <w:p>
      <w:pPr>
        <w:spacing w:before="0" w:after="100" w:line="264" w:lineRule="auto"/>
      </w:pPr>
      <w:r>
        <w:rPr>
          <w:rFonts w:ascii="Arial" w:hAnsi="Arial" w:cs="Arial"/>
          <w:sz w:val="20"/>
          <w:szCs w:val="20"/>
        </w:rPr>
        <w:t>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 xml:space="preserve">On 4 September 2023 he confirmed that he was able and willing to work any roster presented to him including the current schedule with full 24-hour availability, that he had no issues with shift work, and attached a draft roster spreadsheet. [¶¶ 33 to 35]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sz w:val="20"/>
          <w:szCs w:val="20"/>
        </w:rPr>
        <w:t>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b/>
          <w:sz w:val="20"/>
          <w:szCs w:val="20"/>
        </w:rPr>
        <w:t xml:space="preserve">1(d) Notification of variable office hours (23 August 2023 to 17 May 2024). </w:t>
      </w:r>
      <w:r>
        <w:rPr>
          <w:rFonts w:ascii="Arial" w:hAnsi="Arial" w:cs="Arial"/>
          <w:b w:val="0"/>
          <w:sz w:val="20"/>
          <w:szCs w:val="20"/>
        </w:rPr>
        <w:t>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b/>
          <w:sz w:val="20"/>
          <w:szCs w:val="20"/>
        </w:rPr>
        <w:t xml:space="preserve">The Respondent does not allege that fixed office hours were stated to the Switchboard staff at any time between 23 August 2023 and 17 May 2024. </w:t>
      </w:r>
      <w:r>
        <w:rPr>
          <w:rFonts w:ascii="Arial" w:hAnsi="Arial" w:cs="Arial"/>
          <w:b w:val="0"/>
          <w:sz w:val="20"/>
          <w:szCs w:val="20"/>
        </w:rPr>
        <w:t>[¶ 73] That is approximately nine months.</w:t>
      </w:r>
    </w:p>
    <w:p>
      <w:pPr>
        <w:spacing w:before="0" w:after="100" w:line="264" w:lineRule="auto"/>
      </w:pPr>
      <w:r>
        <w:rPr>
          <w:rFonts w:ascii="Arial" w:hAnsi="Arial" w:cs="Arial"/>
          <w:b/>
          <w:sz w:val="20"/>
          <w:szCs w:val="20"/>
        </w:rPr>
        <w:t xml:space="preserve">1(e) Pandemic leave submissions (20 February to 1 March 2024). </w:t>
      </w:r>
      <w:r>
        <w:rPr>
          <w:rFonts w:ascii="Arial" w:hAnsi="Arial" w:cs="Arial"/>
          <w:b w:val="0"/>
          <w:sz w:val="20"/>
          <w:szCs w:val="20"/>
        </w:rPr>
        <w:t>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four times in all: once to the Manager, as requested, and then three times through myHR, once that morning and, after two declines, twice more.</w:t>
      </w:r>
    </w:p>
    <w:p>
      <w:pPr>
        <w:spacing w:before="0" w:after="100" w:line="264" w:lineRule="auto"/>
      </w:pPr>
      <w:r>
        <w:rPr>
          <w:rFonts w:ascii="Arial" w:hAnsi="Arial" w:cs="Arial"/>
          <w:sz w:val="20"/>
          <w:szCs w:val="20"/>
        </w:rPr>
        <w:t>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 xml:space="preserve">It records the Appellant as having submitted the request on three occasions and the Manager as having declined it on two, and records the Director as approving it at 16:05:08 on 1 March 2024. [¶¶ 121 to 123]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sz w:val="20"/>
          <w:szCs w:val="20"/>
        </w:rPr>
        <w:t>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pPr>
      <w:r>
        <w:rPr>
          <w:rFonts w:ascii="Arial" w:hAnsi="Arial" w:cs="Arial"/>
          <w:b/>
          <w:sz w:val="20"/>
          <w:szCs w:val="20"/>
        </w:rPr>
        <w:t xml:space="preserve">1(f) After hours on call process changed (15 April 2024). </w:t>
      </w:r>
      <w:r>
        <w:rPr>
          <w:rFonts w:ascii="Arial" w:hAnsi="Arial" w:cs="Arial"/>
          <w:b w:val="0"/>
          <w:sz w:val="20"/>
          <w:szCs w:val="20"/>
        </w:rPr>
        <w:t>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She signed it as "A/Switchboard Manager". [¶ 53]</w:t>
      </w:r>
    </w:p>
    <w:p>
      <w:pPr>
        <w:spacing w:before="0" w:after="100" w:line="264" w:lineRule="auto"/>
      </w:pPr>
      <w:r>
        <w:rPr>
          <w:rFonts w:ascii="Arial" w:hAnsi="Arial" w:cs="Arial"/>
          <w:b/>
          <w:sz w:val="20"/>
          <w:szCs w:val="20"/>
        </w:rPr>
        <w:t xml:space="preserve">1(g) Data entry process changed (19 April 2024). </w:t>
      </w:r>
      <w:r>
        <w:rPr>
          <w:rFonts w:ascii="Arial" w:hAnsi="Arial" w:cs="Arial"/>
          <w:b w:val="0"/>
          <w:sz w:val="20"/>
          <w:szCs w:val="20"/>
        </w:rPr>
        <w:t>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b/>
          <w:sz w:val="20"/>
          <w:szCs w:val="20"/>
        </w:rPr>
        <w:t xml:space="preserve">1(h) Misdirected calls and the MASPER response (2 to 9 May 2024). </w:t>
      </w:r>
      <w:r>
        <w:rPr>
          <w:rFonts w:ascii="Arial" w:hAnsi="Arial" w:cs="Arial"/>
          <w:b w:val="0"/>
          <w:sz w:val="20"/>
          <w:szCs w:val="20"/>
        </w:rPr>
        <w:t>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b w:val="0"/>
          <w:sz w:val="20"/>
          <w:szCs w:val="20"/>
        </w:rPr>
        <w:t>In April 2025 the console took between 269 and 444 calls on an eight-hour shift (Stressor 3(b), the ordinary-call-load paragraph below); the Appellant's evidence is that the load in May 2024 was of the same order. Emergency codes were received and paged through it throughout the day (Stressor 3(b)).</w:t>
      </w:r>
    </w:p>
    <w:p>
      <w:pPr>
        <w:spacing w:before="0" w:after="100" w:line="264" w:lineRule="auto"/>
      </w:pPr>
      <w:r>
        <w:rPr>
          <w:rFonts w:ascii="Arial" w:hAnsi="Arial" w:cs="Arial"/>
          <w:sz w:val="20"/>
          <w:szCs w:val="20"/>
        </w:rP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 xml:space="preserve">The Manager's first reply was sent on 9 May at 9:20 am, five days, eighteen hours and fourteen minutes after the first email. [¶¶ 62 to 64] It was sent to the Registrar and Dr Wong,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 xml:space="preserve">So the sequence at the console was: the first report on 3 May 2024, a second on 8 May (the fifth calendar day after the first), nine occasions in all, the Manager's first reply after five days, eighteen hours and fourteen minutes, and a new process communicated to Switchboard staff at 10:15 am on 9 May (the sixth day). [¶¶ 56 to 69]</w:t>
      </w:r>
    </w:p>
    <w:p>
      <w:pPr>
        <w:spacing w:before="0" w:after="100" w:line="264" w:lineRule="auto"/>
      </w:pPr>
      <w:r>
        <w:rPr>
          <w:rFonts w:ascii="Arial" w:hAnsi="Arial" w:cs="Arial"/>
          <w:b/>
          <w:sz w:val="20"/>
          <w:szCs w:val="20"/>
        </w:rPr>
        <w:t xml:space="preserve">1(i) The complaint of 13 May 2024 - chronology only (13 May 2024). </w:t>
      </w:r>
      <w:r>
        <w:rPr>
          <w:rFonts w:ascii="Arial" w:hAnsi="Arial" w:cs="Arial"/>
          <w:b w:val="0"/>
          <w:sz w:val="20"/>
          <w:szCs w:val="20"/>
        </w:rPr>
        <w:t>On 13 May 2024 the Appellant lodged a corrupt conduct complaint regarding clinical risks. The Ethical Standards Unit formally determined this constituted a Public Interest Disclosure (Admitted Fact: Form 24, para 20, admitted 18 February 2026). The content is not set out. It is pleaded for chronology only; no cause of the injury and no motive is alleged in connection with it.</w:t>
      </w:r>
    </w:p>
    <w:p>
      <w:pPr>
        <w:spacing w:before="0" w:after="100" w:line="264" w:lineRule="auto"/>
      </w:pPr>
      <w:r>
        <w:rPr>
          <w:rFonts w:ascii="Arial" w:hAnsi="Arial" w:cs="Arial"/>
          <w:b/>
          <w:sz w:val="20"/>
          <w:szCs w:val="20"/>
        </w:rPr>
        <w:t xml:space="preserve">1(j) On-call roster and absence notification instructions - context only (13 to 15 May 2024). </w:t>
      </w:r>
      <w:r>
        <w:rPr>
          <w:rFonts w:ascii="Arial" w:hAnsi="Arial" w:cs="Arial"/>
          <w:b w:val="0"/>
          <w:sz w:val="20"/>
          <w:szCs w:val="20"/>
        </w:rPr>
        <w:t>On 13 May 2024 at 4:29 pm the on-call roster for the fortnight beginning that day was circulated to the Switchboard team. [¶¶ 111 to 112]</w:t>
      </w:r>
    </w:p>
    <w:p>
      <w:pPr>
        <w:spacing w:before="0" w:after="100" w:line="264" w:lineRule="auto"/>
      </w:pPr>
      <w:r>
        <w:rPr>
          <w:rFonts w:ascii="Arial" w:hAnsi="Arial" w:cs="Arial"/>
          <w:b/>
          <w:sz w:val="20"/>
          <w:szCs w:val="20"/>
        </w:rPr>
        <w:t xml:space="preserve"/>
      </w:r>
      <w:r>
        <w:rPr>
          <w:rFonts w:ascii="Arial" w:hAnsi="Arial" w:cs="Arial"/>
          <w:b w:val="0"/>
          <w:sz w:val="20"/>
          <w:szCs w:val="20"/>
        </w:rPr>
        <w:t>From 14 May 2024 the process for notifying unavailability for a rostered shift was also directed through the Switchboard Manager, both emails identifying the Switchboard as a means of contacting her. [¶¶ 162 to 165]</w:t>
      </w:r>
    </w:p>
    <w:p>
      <w:pPr>
        <w:spacing w:before="0" w:after="100" w:line="264" w:lineRule="auto"/>
      </w:pPr>
      <w:r>
        <w:rPr>
          <w:rFonts w:ascii="Arial" w:hAnsi="Arial" w:cs="Arial"/>
          <w:sz w:val="20"/>
          <w:szCs w:val="20"/>
        </w:rPr>
        <w:t>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1(k) Respiratory directory error and requests for correction (15 to 20 May 2024). </w:t>
      </w:r>
      <w:r>
        <w:rPr>
          <w:rFonts w:ascii="Arial" w:hAnsi="Arial" w:cs="Arial"/>
          <w:b w:val="0"/>
          <w:sz w:val="20"/>
          <w:szCs w:val="20"/>
        </w:rPr>
        <w:t>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The Respondent does not allege that any response was made to that email before 20 May 2024. [¶ 90]</w:t>
      </w:r>
    </w:p>
    <w:p>
      <w:pPr>
        <w:spacing w:before="0" w:after="100" w:line="264" w:lineRule="auto"/>
      </w:pPr>
      <w:r>
        <w:rPr>
          <w:rFonts w:ascii="Arial" w:hAnsi="Arial" w:cs="Arial"/>
          <w:sz w:val="20"/>
          <w:szCs w:val="20"/>
        </w:rPr>
        <w:t>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The Respondent does not allege that any response was made to that email before 2:05 pm that day. [¶ 93]</w:t>
      </w:r>
    </w:p>
    <w:p>
      <w:pPr>
        <w:spacing w:before="0" w:after="100" w:line="264" w:lineRule="auto"/>
      </w:pPr>
      <w:r>
        <w:rPr>
          <w:rFonts w:ascii="Arial" w:hAnsi="Arial" w:cs="Arial"/>
          <w:sz w:val="20"/>
          <w:szCs w:val="20"/>
        </w:rPr>
        <w:t xml:space="preserve">At 2:05 pm, from the Logan Switch account and within the office hours the Manager had stated to all Switchboard staff on 17 May 2024, the Appellant wrote to the Manager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 xml:space="preserve">The Respondent does not allege that the Appellant was rostered to work after 2:05 pm that day. [¶ 99] The Manager's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she had stated to all Switchboard staff on 17 May 2024. [¶¶ 102 to 103]</w:t>
      </w:r>
    </w:p>
    <w:p>
      <w:pPr>
        <w:spacing w:before="0" w:after="100" w:line="264" w:lineRule="auto"/>
      </w:pPr>
      <w:r>
        <w:rPr>
          <w:rFonts w:ascii="Arial" w:hAnsi="Arial" w:cs="Arial"/>
          <w:sz w:val="20"/>
          <w:szCs w:val="20"/>
        </w:rP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 xml:space="preserve">So the sequence was: the Service's first email on 15 May 2024; its second on 20 May, the fifth calendar day; the Appellant's escalation five days, two hours and eighteen minutes after the first email and three hours and two minutes after the second; and the Manager's reply two hours and twenty-five minutes after that, two hours after the office hours she had stated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sz w:val="20"/>
          <w:szCs w:val="20"/>
        </w:rPr>
        <w:t>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1(l) Office hours request and the retraction response (15 to 21 May 2024). </w:t>
      </w:r>
      <w:r>
        <w:rPr>
          <w:rFonts w:ascii="Arial" w:hAnsi="Arial" w:cs="Arial"/>
          <w:b w:val="0"/>
          <w:sz w:val="20"/>
          <w:szCs w:val="20"/>
        </w:rP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At 7:09 pm the Appellant replied that "Requesting clarity on business hours is a reasonable question". [¶ 78] The Respondent's outline of Ms Taylor's evidence, served 24 September 2026, states that, acting on HR's advice, she removed the email of 15 May 2024 from the shared Switchboard inbox.</w:t>
      </w:r>
    </w:p>
    <w:p>
      <w:pPr>
        <w:spacing w:before="0" w:after="100" w:line="264" w:lineRule="auto"/>
      </w:pPr>
      <w:r>
        <w:rPr>
          <w:rFonts w:ascii="Arial" w:hAnsi="Arial" w:cs="Arial"/>
          <w:sz w:val="20"/>
          <w:szCs w:val="20"/>
        </w:rP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b/>
          <w:sz w:val="20"/>
          <w:szCs w:val="20"/>
        </w:rPr>
        <w:t xml:space="preserve">So the request for the Manager's office hours was made at 1:15 pm on 15 May 2024. </w:t>
      </w:r>
      <w:r>
        <w:rPr>
          <w:rFonts w:ascii="Arial" w:hAnsi="Arial" w:cs="Arial"/>
          <w:b w:val="0"/>
          <w:sz w:val="20"/>
          <w:szCs w:val="20"/>
        </w:rPr>
        <w:t>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approximately nine months. [¶¶ 73 to 84]</w:t>
      </w:r>
    </w:p>
    <w:p>
      <w:pPr>
        <w:keepNext/>
        <w:spacing w:before="0" w:after="100" w:line="264" w:lineRule="auto"/>
      </w:pPr>
      <w:r>
        <w:rPr>
          <w:rFonts w:ascii="Arial" w:hAnsi="Arial" w:cs="Arial"/>
          <w:b/>
          <w:sz w:val="20"/>
          <w:szCs w:val="20"/>
        </w:rPr>
        <w:t>Supporting records and overlap with the other themes</w:t>
      </w:r>
    </w:p>
    <w:p>
      <w:pPr>
        <w:spacing w:before="0" w:after="100" w:line="264" w:lineRule="auto"/>
      </w:pPr>
      <w:r>
        <w:rPr>
          <w:rFonts w:ascii="Arial" w:hAnsi="Arial" w:cs="Arial"/>
          <w:b/>
          <w:sz w:val="20"/>
          <w:szCs w:val="20"/>
        </w:rPr>
        <w:t xml:space="preserve">The Manager's notice of 18 June 2024. </w:t>
      </w:r>
      <w:r>
        <w:rPr>
          <w:rFonts w:ascii="Arial" w:hAnsi="Arial" w:cs="Arial"/>
          <w:b w:val="0"/>
          <w:sz w:val="20"/>
          <w:szCs w:val="20"/>
        </w:rPr>
        <w:t>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 xml:space="preserve">By letter of 5 June 2026, reference K-LM26/729, signed by the Chief Executive and addressed to the Commission, Metro South Health stated that "there have been no 'consequential' changes to operating procedures over the period requested" [¶ 266], and that "All employee complaints relating to Logan Hospital Switchboard operational errors are made directly to the Line Manager of Switch Board and managed solely via email or verbally with the complainant." [¶ 267] Its statements on fatigue risk management and on the record of MET calls are pleaded at Stressor 3 [¶¶ 263 to 265, 268].</w:t>
      </w:r>
    </w:p>
    <w:p>
      <w:pPr>
        <w:spacing w:before="0" w:after="100" w:line="264" w:lineRule="auto"/>
      </w:pPr>
      <w:r>
        <w:rPr>
          <w:rFonts w:ascii="Arial" w:hAnsi="Arial" w:cs="Arial"/>
          <w:sz w:val="20"/>
          <w:szCs w:val="20"/>
        </w:rPr>
        <w:t xml:space="preserve">The Respondent does not allege that any change was made to the operating procedures of the Switchboard as a consequence of any employee complaint at any time before 30 June 2024 [¶ 272]; its position on fatigue risk management before that date is pleaded at Stressor 3, supporting fatigue records [¶¶ 269 to 271].</w:t>
      </w:r>
    </w:p>
    <w:p>
      <w:pPr>
        <w:spacing w:before="0" w:after="100" w:line="264" w:lineRule="auto"/>
      </w:pPr>
      <w:r>
        <w:rPr>
          <w:rFonts w:ascii="Arial" w:hAnsi="Arial" w:cs="Arial"/>
          <w:b w:val="0"/>
          <w:sz w:val="20"/>
          <w:szCs w:val="20"/>
        </w:rPr>
        <w:t>Payroll's direction of 3 May 2024 to correct four fortnights had not been actioned on 13 May [¶¶ 192 to 193] and was still awaited on 21 May [¶¶ 194 to 195]; that sequence is pleaded at Stressor 2(h), 2(i), 2(l) and 2(m) and is repeated here as part of the conditions in which the work was carried on.</w:t>
      </w:r>
    </w:p>
    <w:p>
      <w:pPr>
        <w:spacing w:before="0" w:after="100" w:line="264" w:lineRule="auto"/>
      </w:pPr>
      <w:r>
        <w:rPr>
          <w:rFonts w:ascii="Arial" w:hAnsi="Arial" w:cs="Arial"/>
          <w:b/>
          <w:sz w:val="20"/>
          <w:szCs w:val="20"/>
        </w:rPr>
        <w:t xml:space="preserve">The rostering concern raised in August 2023 recurred, and the employer's own documents record it. </w:t>
      </w:r>
      <w:r>
        <w:rPr>
          <w:rFonts w:ascii="Arial" w:hAnsi="Arial" w:cs="Arial"/>
          <w:b w:val="0"/>
          <w:sz w:val="20"/>
          <w:szCs w:val="20"/>
        </w:rPr>
        <w:t>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3(e) to 3(g) and are repeated here because they bear on this stressor.</w:t>
      </w:r>
    </w:p>
    <w:p>
      <w:pPr>
        <w:spacing w:before="0" w:after="100" w:line="264" w:lineRule="auto"/>
      </w:pPr>
      <w:r>
        <w:rPr>
          <w:rFonts w:ascii="Arial" w:hAnsi="Arial" w:cs="Arial"/>
          <w:b/>
          <w:sz w:val="20"/>
          <w:szCs w:val="20"/>
        </w:rPr>
        <w:t xml:space="preserve">Context and the Respondent's pleaded position. </w:t>
      </w:r>
      <w:r>
        <w:rPr>
          <w:rFonts w:ascii="Arial" w:hAnsi="Arial" w:cs="Arial"/>
          <w:b w:val="0"/>
          <w:sz w:val="20"/>
          <w:szCs w:val="20"/>
        </w:rPr>
        <w:t xml:space="preserve">The Respondent's pleaded answer, including paragraph 27 of its statement, is at Part C, paragraph 10. [¶¶ 300 to 303] The matters at 1(a), 1(c), 1(e), 1(i) and 1(j),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1(b), 1(d), 1(f) to 1(h), 1(k) and 1(l), read with the opening duties and standards and the supporting records.</w:t>
      </w:r>
      <w:r>
        <w:rPr>
          <w:rStyle w:val="CommentReference"/>
        </w:rPr>
      </w:r>
    </w:p>
    <w:p>
      <w:pPr>
        <w:spacing w:before="80" w:after="140" w:line="264" w:lineRule="auto"/>
      </w:pPr>
      <w:r>
        <w:rPr>
          <w:rFonts w:ascii="Arial" w:hAnsi="Arial" w:cs="Arial"/>
          <w:b/>
          <w:sz w:val="20"/>
          <w:szCs w:val="20"/>
        </w:rPr>
        <w:t xml:space="preserve">The medical link - Stressor 1. </w:t>
      </w:r>
      <w:r>
        <w:rPr>
          <w:rFonts w:ascii="Arial" w:hAnsi="Arial" w:cs="Arial"/>
          <w:sz w:val="20"/>
          <w:szCs w:val="20"/>
        </w:rPr>
        <w:t>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pacing w:before="0" w:after="100" w:line="264" w:lineRule="auto"/>
      </w:pPr>
      <w:r>
        <w:rPr>
          <w:rFonts w:ascii="Arial" w:hAnsi="Arial" w:cs="Arial"/>
          <w:b/>
          <w:sz w:val="22"/>
          <w:szCs w:val="22"/>
        </w:rPr>
        <w:t>STRESSOR 2 - REMUNERATION</w:t>
      </w:r>
    </w:p>
    <w:p>
      <w:pPr>
        <w:spacing w:before="0" w:after="100" w:line="264" w:lineRule="auto"/>
      </w:pPr>
      <w:r>
        <w:rPr>
          <w:rFonts w:ascii="Arial" w:hAnsi="Arial" w:cs="Arial"/>
          <w:b/>
          <w:sz w:val="20"/>
          <w:szCs w:val="20"/>
        </w:rPr>
        <w:t xml:space="preserve">Scope of Stressor 2. </w:t>
      </w:r>
      <w:r>
        <w:rPr>
          <w:rFonts w:ascii="Arial" w:hAnsi="Arial" w:cs="Arial"/>
          <w:b w:val="0"/>
          <w:sz w:val="20"/>
          <w:szCs w:val="20"/>
        </w:rPr>
        <w:t>Particulars 2(a) to 2(i) and 2(l) to 2(n) identify the entitlement and correction events before the certified injury date. Particular 2(j) records a completed claim in the same period, and particular 2(k) the related HR follow-up; both are context. Particular 2(o) records a later correction of the earlier error, not an additional cause arising in 2025.</w:t>
      </w:r>
    </w:p>
    <w:p>
      <w:pPr>
        <w:spacing w:before="0" w:after="100" w:line="264" w:lineRule="auto"/>
      </w:pPr>
      <w:r>
        <w:rPr>
          <w:rFonts w:ascii="Arial" w:hAnsi="Arial" w:cs="Arial"/>
          <w:b/>
          <w:sz w:val="20"/>
          <w:szCs w:val="20"/>
        </w:rPr>
        <w:t xml:space="preserve">The basis of the entitlement. </w:t>
      </w:r>
      <w:r>
        <w:rPr>
          <w:rFonts w:ascii="Arial" w:hAnsi="Arial" w:cs="Arial"/>
          <w:b w:val="0"/>
          <w:sz w:val="20"/>
          <w:szCs w:val="20"/>
        </w:rPr>
        <w:t>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1(c) and 3(a) and are repeated here.</w:t>
      </w:r>
    </w:p>
    <w:p>
      <w:pPr>
        <w:spacing w:before="0" w:after="100" w:line="264" w:lineRule="auto"/>
      </w:pPr>
      <w:r>
        <w:rPr>
          <w:rFonts w:ascii="Arial" w:hAnsi="Arial" w:cs="Arial"/>
          <w:b/>
          <w:sz w:val="20"/>
          <w:szCs w:val="20"/>
        </w:rPr>
        <w:t xml:space="preserve">Who submitted the recorded corrections. </w:t>
      </w:r>
      <w:r>
        <w:rPr>
          <w:rFonts w:ascii="Arial" w:hAnsi="Arial" w:cs="Arial"/>
          <w:b w:val="0"/>
          <w:sz w:val="20"/>
          <w:szCs w:val="20"/>
        </w:rPr>
        <w:t>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2(a) Seven hours recorded instead of eight (9 February 2024). </w:t>
      </w:r>
      <w:r>
        <w:rPr>
          <w:rFonts w:ascii="Arial" w:hAnsi="Arial" w:cs="Arial"/>
          <w:b w:val="0"/>
          <w:sz w:val="20"/>
          <w:szCs w:val="20"/>
        </w:rPr>
        <w:t>The shift of 9 February 2024 was recorded as seven hours instead of eight, so the fortnight commencing 5 February 2024 was under the contracted hours and was topped up from the Appellant's RDO balance. [¶¶ 185 to 186]</w:t>
      </w:r>
    </w:p>
    <w:p>
      <w:pPr>
        <w:spacing w:before="0" w:after="100" w:line="264" w:lineRule="auto"/>
      </w:pPr>
      <w:r>
        <w:rPr>
          <w:rFonts w:ascii="Arial" w:hAnsi="Arial" w:cs="Arial"/>
          <w:b/>
          <w:sz w:val="20"/>
          <w:szCs w:val="20"/>
        </w:rPr>
        <w:t xml:space="preserve">2(b) Processing of paid pandemic leave (20 February to 1 March 2024). </w:t>
      </w:r>
      <w:r>
        <w:rPr>
          <w:rFonts w:ascii="Arial" w:hAnsi="Arial" w:cs="Arial"/>
          <w:b w:val="0"/>
          <w:sz w:val="20"/>
          <w:szCs w:val="20"/>
        </w:rPr>
        <w:t>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1(e).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2(c) Second shift recorded as seven hours (28 February 2024). </w:t>
      </w:r>
      <w:r>
        <w:rPr>
          <w:rFonts w:ascii="Arial" w:hAnsi="Arial" w:cs="Arial"/>
          <w:b w:val="0"/>
          <w:sz w:val="20"/>
          <w:szCs w:val="20"/>
        </w:rPr>
        <w:t>The shift of 28 February 2024 was recorded as seven hours instead of eight, and the fortnight commencing 19 February 2024 was topped up from the Appellant’s RDO balance. [¶ 187]</w:t>
      </w:r>
    </w:p>
    <w:p>
      <w:pPr>
        <w:spacing w:before="0" w:after="100" w:line="264" w:lineRule="auto"/>
      </w:pPr>
      <w:r>
        <w:rPr>
          <w:rFonts w:ascii="Arial" w:hAnsi="Arial" w:cs="Arial"/>
          <w:b/>
          <w:sz w:val="20"/>
          <w:szCs w:val="20"/>
        </w:rPr>
        <w:t xml:space="preserve">2(d) Overtime recorded as ordinary shifts (fortnight beginning 18 March 2024). </w:t>
      </w:r>
      <w:r>
        <w:rPr>
          <w:rFonts w:ascii="Arial" w:hAnsi="Arial" w:cs="Arial"/>
          <w:b w:val="0"/>
          <w:sz w:val="20"/>
          <w:szCs w:val="20"/>
        </w:rPr>
        <w:t>The fortnight commencing 18 March 2024, which contained the shift of 18 March, was recorded with too many ordinary shifts, reducing wages, because one of the shifts needed to be overtime. [¶ 188]</w:t>
      </w:r>
    </w:p>
    <w:p>
      <w:pPr>
        <w:spacing w:before="0" w:after="100" w:line="264" w:lineRule="auto"/>
      </w:pPr>
      <w:r>
        <w:rPr>
          <w:rFonts w:ascii="Arial" w:hAnsi="Arial" w:cs="Arial"/>
          <w:b/>
          <w:sz w:val="20"/>
          <w:szCs w:val="20"/>
        </w:rPr>
        <w:t xml:space="preserve">2(e) Public holiday claim submitted late (30 March 2024). </w:t>
      </w:r>
      <w:r>
        <w:rPr>
          <w:rFonts w:ascii="Arial" w:hAnsi="Arial" w:cs="Arial"/>
          <w:b w:val="0"/>
          <w:sz w:val="20"/>
          <w:szCs w:val="20"/>
        </w:rPr>
        <w:t>The public holiday of 30 March 2024 was, on Payroll's later account, "submitted late".</w:t>
      </w:r>
    </w:p>
    <w:p>
      <w:pPr>
        <w:spacing w:before="0" w:after="100" w:line="264" w:lineRule="auto"/>
      </w:pPr>
      <w:r>
        <w:rPr>
          <w:rFonts w:ascii="Arial" w:hAnsi="Arial" w:cs="Arial"/>
          <w:b/>
          <w:sz w:val="20"/>
          <w:szCs w:val="20"/>
        </w:rPr>
        <w:t xml:space="preserve">2(f) Hours above the contracted fortnight (fortnight beginning 1 April 2024). </w:t>
      </w:r>
      <w:r>
        <w:rPr>
          <w:rFonts w:ascii="Arial" w:hAnsi="Arial" w:cs="Arial"/>
          <w:b w:val="0"/>
          <w:sz w:val="20"/>
          <w:szCs w:val="20"/>
        </w:rPr>
        <w:t>The fortnight commencing 1 April 2024 was over the contracted 76 hours, again requiring overtime. [¶ 189]</w:t>
      </w:r>
    </w:p>
    <w:p>
      <w:pPr>
        <w:spacing w:before="0" w:after="100" w:line="264" w:lineRule="auto"/>
      </w:pPr>
      <w:r>
        <w:rPr>
          <w:rFonts w:ascii="Arial" w:hAnsi="Arial" w:cs="Arial"/>
          <w:b/>
          <w:sz w:val="20"/>
          <w:szCs w:val="20"/>
        </w:rPr>
        <w:t xml:space="preserve">2(g) Pay enquiry and public holiday review (8 April to 1 May 2024). </w:t>
      </w:r>
      <w:r>
        <w:rPr>
          <w:rFonts w:ascii="Arial" w:hAnsi="Arial" w:cs="Arial"/>
          <w:b w:val="0"/>
          <w:sz w:val="20"/>
          <w:szCs w:val="20"/>
        </w:rPr>
        <w:t>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w:t>
      </w:r>
    </w:p>
    <w:p>
      <w:pPr>
        <w:spacing w:before="0" w:after="100" w:line="264" w:lineRule="auto"/>
      </w:pPr>
      <w:r>
        <w:rPr>
          <w:rFonts w:ascii="Arial" w:hAnsi="Arial" w:cs="Arial"/>
          <w:b/>
          <w:sz w:val="20"/>
          <w:szCs w:val="20"/>
        </w:rPr>
        <w:t xml:space="preserve">Public holidays on which the Appellant was not required to work. </w:t>
      </w:r>
      <w:r>
        <w:rPr>
          <w:rFonts w:ascii="Arial" w:hAnsi="Arial" w:cs="Arial"/>
          <w:b w:val="0"/>
          <w:sz w:val="20"/>
          <w:szCs w:val="20"/>
        </w:rPr>
        <w:t>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2(h) Payroll directed four fortnight corrections (3 May 2024). </w:t>
      </w:r>
      <w:r>
        <w:rPr>
          <w:rFonts w:ascii="Arial" w:hAnsi="Arial" w:cs="Arial"/>
          <w:b w:val="0"/>
          <w:sz w:val="20"/>
          <w:szCs w:val="20"/>
        </w:rPr>
        <w:t>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b/>
          <w:sz w:val="20"/>
          <w:szCs w:val="20"/>
        </w:rPr>
        <w:t xml:space="preserve">2(i) Follow-up found no correction (10 to 13 May 2024). </w:t>
      </w:r>
      <w:r>
        <w:rPr>
          <w:rFonts w:ascii="Arial" w:hAnsi="Arial" w:cs="Arial"/>
          <w:b w:val="0"/>
          <w:sz w:val="20"/>
          <w:szCs w:val="20"/>
        </w:rPr>
        <w:t>On 10 May 2024 at 2:21 pm the Appellant wrote to PayrollMetroSouth and Ms Grant. [¶ 191]</w:t>
      </w:r>
    </w:p>
    <w:p>
      <w:pPr>
        <w:spacing w:before="0" w:after="100" w:line="264" w:lineRule="auto"/>
      </w:pPr>
      <w:r>
        <w:rPr>
          <w:rFonts w:ascii="Arial" w:hAnsi="Arial" w:cs="Arial"/>
          <w:sz w:val="20"/>
          <w:szCs w:val="20"/>
        </w:rPr>
        <w:t>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b/>
          <w:sz w:val="20"/>
          <w:szCs w:val="20"/>
        </w:rPr>
        <w:t xml:space="preserve">2(j) A completed AVAC recorded - context only (15 to 16 May 2024). </w:t>
      </w:r>
      <w:r>
        <w:rPr>
          <w:rFonts w:ascii="Arial" w:hAnsi="Arial" w:cs="Arial"/>
          <w:b w:val="0"/>
          <w:sz w:val="20"/>
          <w:szCs w:val="20"/>
        </w:rPr>
        <w:t>The myHR submissions report records a claim with process number 16328886 submitted on 15 May 2024 and completed the next day. [¶ 202]</w:t>
      </w:r>
    </w:p>
    <w:p>
      <w:pPr>
        <w:spacing w:before="0" w:after="100" w:line="264" w:lineRule="auto"/>
      </w:pPr>
      <w:r>
        <w:rPr>
          <w:rFonts w:ascii="Arial" w:hAnsi="Arial" w:cs="Arial"/>
          <w:b/>
          <w:sz w:val="20"/>
          <w:szCs w:val="20"/>
        </w:rPr>
        <w:t xml:space="preserve">2(k) HR follow-up about rostering (20 May 2024). </w:t>
      </w:r>
      <w:r>
        <w:rPr>
          <w:rFonts w:ascii="Arial" w:hAnsi="Arial" w:cs="Arial"/>
          <w:b w:val="0"/>
          <w:sz w:val="20"/>
          <w:szCs w:val="20"/>
        </w:rPr>
        <w:t>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2(l) Manager awaited Payroll confirmation (21 May 2024). </w:t>
      </w:r>
      <w:r>
        <w:rPr>
          <w:rFonts w:ascii="Arial" w:hAnsi="Arial" w:cs="Arial"/>
          <w:b w:val="0"/>
          <w:sz w:val="20"/>
          <w:szCs w:val="20"/>
        </w:rPr>
        <w:t>On 21 May 2024 at 12:33 pm the Manager wrote that she was "still I am waiting payroll confirmation". [¶¶ 194 to 195]</w:t>
      </w:r>
    </w:p>
    <w:p>
      <w:pPr>
        <w:spacing w:before="0" w:after="100" w:line="264" w:lineRule="auto"/>
      </w:pPr>
      <w:r>
        <w:rPr>
          <w:rFonts w:ascii="Arial" w:hAnsi="Arial" w:cs="Arial"/>
          <w:b/>
          <w:sz w:val="20"/>
          <w:szCs w:val="20"/>
        </w:rPr>
        <w:t xml:space="preserve">2(m) Validation request and partly completed AVAC (28 to 30 May 2024). </w:t>
      </w:r>
      <w:r>
        <w:rPr>
          <w:rFonts w:ascii="Arial" w:hAnsi="Arial" w:cs="Arial"/>
          <w:b w:val="0"/>
          <w:sz w:val="20"/>
          <w:szCs w:val="20"/>
        </w:rPr>
        <w:t>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sz w:val="20"/>
          <w:szCs w:val="20"/>
        </w:rPr>
        <w:t>The myHR submissions report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The myHR report records the process numbers and submission dates in the period, and those process numbers increase as submission dates increase. [¶¶ 205 to 206]</w:t>
      </w:r>
    </w:p>
    <w:p>
      <w:pPr>
        <w:spacing w:before="0" w:after="100" w:line="264" w:lineRule="auto"/>
      </w:pPr>
      <w:r>
        <w:rPr>
          <w:rFonts w:ascii="Arial" w:hAnsi="Arial" w:cs="Arial"/>
          <w:b/>
          <w:sz w:val="20"/>
          <w:szCs w:val="20"/>
        </w:rPr>
        <w:t xml:space="preserve">2(n) Three corrections reached a payslip (5 June 2024). </w:t>
      </w:r>
      <w:r>
        <w:rPr>
          <w:rFonts w:ascii="Arial" w:hAnsi="Arial" w:cs="Arial"/>
          <w:b w:val="0"/>
          <w:sz w:val="20"/>
          <w:szCs w:val="20"/>
        </w:rPr>
        <w:t>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b/>
          <w:sz w:val="20"/>
          <w:szCs w:val="20"/>
        </w:rPr>
        <w:t xml:space="preserve">2(o) Later correction of the 9 February shift (30 June to 2 July 2025). </w:t>
      </w:r>
      <w:r>
        <w:rPr>
          <w:rFonts w:ascii="Arial" w:hAnsi="Arial" w:cs="Arial"/>
          <w:b w:val="0"/>
          <w:sz w:val="20"/>
          <w:szCs w:val="20"/>
        </w:rPr>
        <w:t>The shift of 9 February 2024 was not corrected on Payslip 06, pay date 5 June 2024.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(Ms Wright's outline, served 24 September 2026), without stating these dates.</w:t>
      </w:r>
    </w:p>
    <w:p>
      <w:pPr>
        <w:keepNext/>
        <w:spacing w:before="0" w:after="100" w:line="264" w:lineRule="auto"/>
      </w:pPr>
      <w:r>
        <w:rPr>
          <w:rFonts w:ascii="Arial" w:hAnsi="Arial" w:cs="Arial"/>
          <w:b/>
          <w:sz w:val="20"/>
          <w:szCs w:val="20"/>
        </w:rPr>
        <w:t>The correction chronology read together</w:t>
      </w:r>
    </w:p>
    <w:p>
      <w:pPr>
        <w:spacing w:before="0" w:after="100" w:line="264" w:lineRule="auto"/>
      </w:pPr>
      <w:r>
        <w:rPr>
          <w:rFonts w:ascii="Arial" w:hAnsi="Arial" w:cs="Arial"/>
          <w:b/>
          <w:sz w:val="20"/>
          <w:szCs w:val="20"/>
        </w:rPr>
        <w:t xml:space="preserve">On 3 May Payroll identified all four fortnights and directed the Manager to submit an AVAC for each. </w:t>
      </w:r>
      <w:r>
        <w:rPr>
          <w:rFonts w:ascii="Arial" w:hAnsi="Arial" w:cs="Arial"/>
          <w:b w:val="0"/>
          <w:sz w:val="20"/>
          <w:szCs w:val="20"/>
        </w:rPr>
        <w:t>[¶¶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b/>
          <w:sz w:val="20"/>
          <w:szCs w:val="20"/>
        </w:rPr>
        <w:t xml:space="preserve">So the pay sequence was this. </w:t>
      </w:r>
      <w:r>
        <w:rPr>
          <w:rFonts w:ascii="Arial" w:hAnsi="Arial" w:cs="Arial"/>
          <w:b w:val="0"/>
          <w:sz w:val="20"/>
          <w:szCs w:val="20"/>
        </w:rPr>
        <w:t>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 The enquiry of 8 April 2024 was also the fatigue enquiry pleaded at Stressor 3(d); no further response to it is alleged between the acknowledgment on 9 April and the substantive reply on 1 May, and it was answered after 23 days [¶¶ 249 to 250].</w:t>
      </w:r>
    </w:p>
    <w:p>
      <w:pPr>
        <w:keepNext/>
        <w:spacing w:before="0" w:after="100" w:line="264" w:lineRule="auto"/>
      </w:pPr>
      <w:r>
        <w:rPr>
          <w:rFonts w:ascii="Arial" w:hAnsi="Arial" w:cs="Arial"/>
          <w:b/>
          <w:sz w:val="20"/>
          <w:szCs w:val="20"/>
        </w:rPr>
        <w:t>The Respondent's pleaded answer and the record</w:t>
      </w:r>
    </w:p>
    <w:p>
      <w:pPr>
        <w:spacing w:before="0" w:after="100" w:line="264" w:lineRule="auto"/>
      </w:pPr>
      <w:r>
        <w:rPr>
          <w:rFonts w:ascii="Arial" w:hAnsi="Arial" w:cs="Arial"/>
          <w:sz w:val="20"/>
          <w:szCs w:val="20"/>
        </w:rPr>
        <w:t>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Neither AVAC PRN 15397775 nor AVAC PRN 15605601 appears in the myHR submissions report. [¶ 210]</w:t>
      </w:r>
    </w:p>
    <w:p>
      <w:pPr>
        <w:spacing w:before="0" w:after="100" w:line="264" w:lineRule="auto"/>
      </w:pPr>
      <w:r>
        <w:rPr>
          <w:rFonts w:ascii="Arial" w:hAnsi="Arial" w:cs="Arial"/>
          <w:sz w:val="20"/>
          <w:szCs w:val="20"/>
        </w:rPr>
        <w:t>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 xml:space="preserve">The Respondent's pleaded answer, including paragraph 27 of its statement, is at Part C, paragraph 10 [¶¶ 238, 300 to 303]. The employer's letter of 5 June 2026 on operating procedures and complaint handling is pleaded at Stressor 1, supporting records [¶¶ 266 to 267, 272].</w:t>
      </w:r>
    </w:p>
    <w:p>
      <w:pPr>
        <w:spacing w:before="80" w:after="140" w:line="264" w:lineRule="auto"/>
      </w:pPr>
      <w:r>
        <w:rPr>
          <w:rFonts w:ascii="Arial" w:hAnsi="Arial" w:cs="Arial"/>
          <w:b/>
          <w:sz w:val="20"/>
          <w:szCs w:val="20"/>
        </w:rPr>
        <w:t xml:space="preserve">The medical link - Stressor 2. </w:t>
      </w:r>
      <w:r>
        <w:rPr>
          <w:rFonts w:ascii="Arial" w:hAnsi="Arial" w:cs="Arial"/>
          <w:sz w:val="20"/>
          <w:szCs w:val="20"/>
        </w:rPr>
        <w:t>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pacing w:before="0" w:after="100" w:line="264" w:lineRule="auto"/>
      </w:pPr>
      <w:r>
        <w:rPr>
          <w:rFonts w:ascii="Arial" w:hAnsi="Arial" w:cs="Arial"/>
          <w:b/>
          <w:sz w:val="22"/>
          <w:szCs w:val="22"/>
        </w:rPr>
        <w:t>STRESSOR 3 - THE ROSTER AND FATIGUE</w:t>
      </w:r>
    </w:p>
    <w:p>
      <w:pPr>
        <w:spacing w:before="0" w:after="100" w:line="264" w:lineRule="auto"/>
      </w:pPr>
      <w:r>
        <w:rPr>
          <w:rFonts w:ascii="Arial" w:hAnsi="Arial" w:cs="Arial"/>
          <w:b/>
          <w:sz w:val="20"/>
          <w:szCs w:val="20"/>
        </w:rPr>
        <w:t xml:space="preserve">Scope of Stressor 3. </w:t>
      </w:r>
      <w:r>
        <w:rPr>
          <w:rFonts w:ascii="Arial" w:hAnsi="Arial" w:cs="Arial"/>
          <w:b w:val="0"/>
          <w:sz w:val="20"/>
          <w:szCs w:val="20"/>
        </w:rPr>
        <w:t>The dated particulars below identify the roster, recovery and subsequent handling of fatigue concerns. The 2020 agreement is a matter bearing on the applicable minimum break. Its execution is not pleaded as a separate injuring event. The seven-hour roster is relied on even if the eight-hour agreement applied. The causal particulars are 3(b) to 3(h). Particular 3(a) is pleaded as context, not as a separate cause.</w:t>
      </w:r>
      <w:r>
        <w:rPr>
          <w:rStyle w:val="CommentReference"/>
        </w:rPr>
      </w:r>
    </w:p>
    <w:p>
      <w:pPr>
        <w:spacing w:before="0" w:after="100" w:line="264" w:lineRule="auto"/>
      </w:pPr>
      <w:r>
        <w:rPr>
          <w:rFonts w:ascii="Arial" w:hAnsi="Arial" w:cs="Arial"/>
          <w:b/>
          <w:sz w:val="20"/>
          <w:szCs w:val="20"/>
        </w:rPr>
        <w:t xml:space="preserve">The standard, as admitted. </w:t>
      </w:r>
      <w:r>
        <w:rPr>
          <w:rFonts w:ascii="Arial" w:hAnsi="Arial" w:cs="Arial"/>
          <w:b w:val="0"/>
          <w:sz w:val="20"/>
          <w:szCs w:val="20"/>
        </w:rPr>
        <w:t>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The agreement of 17 June 2020, and its scope. </w:t>
      </w:r>
      <w:r>
        <w:rPr>
          <w:rFonts w:ascii="Arial" w:hAnsi="Arial" w:cs="Arial"/>
          <w:b w:val="0"/>
          <w:sz w:val="20"/>
          <w:szCs w:val="20"/>
        </w:rPr>
        <w:t>On 17 June 2020 the Appellant signed an agreement allowing an 8-hour break between shifts. [¶ 17]</w:t>
      </w:r>
    </w:p>
    <w:p>
      <w:pPr>
        <w:spacing w:before="0" w:after="100" w:line="264" w:lineRule="auto"/>
      </w:pPr>
      <w:r>
        <w:rPr>
          <w:rFonts w:ascii="Arial" w:hAnsi="Arial" w:cs="Arial"/>
          <w:b/>
          <w:sz w:val="20"/>
          <w:szCs w:val="20"/>
        </w:rPr>
        <w:t xml:space="preserve">The change to part-time. </w:t>
      </w:r>
      <w:r>
        <w:rPr>
          <w:rFonts w:ascii="Arial" w:hAnsi="Arial" w:cs="Arial"/>
          <w:b w:val="0"/>
          <w:sz w:val="20"/>
          <w:szCs w:val="20"/>
        </w:rPr>
        <w:t>Since 17 June 2020 there has been a change to the Appellant's employment contract and adjustments in his working hours, as the review decision records the employer confirming. [¶ 20] He later became a part-time employee. In August 2023 he sought additional hours under clause 11.7 of the applicable agreement, headed "Additional Permanent Hours for Part-time Employees" [¶¶ 26 to 27], and Payroll was, as at 1 May 2024, still reviewing his entitlements "regarding public holidays not required arising while you were a part-time employee". [¶ 255]</w:t>
      </w:r>
    </w:p>
    <w:p>
      <w:pPr>
        <w:spacing w:before="0" w:after="100" w:line="264" w:lineRule="auto"/>
      </w:pPr>
      <w:r>
        <w:rPr>
          <w:rFonts w:ascii="Arial" w:hAnsi="Arial" w:cs="Arial"/>
          <w:b/>
          <w:sz w:val="20"/>
          <w:szCs w:val="20"/>
        </w:rPr>
        <w:t xml:space="preserve">The change to full-time. </w:t>
      </w:r>
      <w:r>
        <w:rPr>
          <w:rFonts w:ascii="Arial" w:hAnsi="Arial" w:cs="Arial"/>
          <w:b w:val="0"/>
          <w:sz w:val="20"/>
          <w:szCs w:val="20"/>
        </w:rPr>
        <w:t>On 31 August 2023 he applied in writing to increase his hours to a full-time rotational roster. [¶ 30] On 27 September 2023 the Manager approved his application for "Permanent Fulltime hours", with full-time hours to commence from 16 October 2023. [¶¶ 37 to 38] The review decision records his submission that the 8-hour agreement "was no longer fit for purpose since your transition from casual employment to full-time" [¶ 18], and that "since your commencement, you have signed new terms and working arrangements as a full-time employee". [¶ 19]</w:t>
      </w:r>
    </w:p>
    <w:p>
      <w:pPr>
        <w:spacing w:before="0" w:after="100" w:line="264" w:lineRule="auto"/>
      </w:pPr>
      <w:r>
        <w:rPr>
          <w:rFonts w:ascii="Arial" w:hAnsi="Arial" w:cs="Arial"/>
          <w:b/>
          <w:sz w:val="20"/>
          <w:szCs w:val="20"/>
        </w:rPr>
        <w:t xml:space="preserve">The emails. </w:t>
      </w:r>
      <w:r>
        <w:rPr>
          <w:rFonts w:ascii="Arial" w:hAnsi="Arial" w:cs="Arial"/>
          <w:b w:val="0"/>
          <w:sz w:val="20"/>
          <w:szCs w:val="20"/>
        </w:rPr>
        <w:t>On 1 May 2024 the Manager wrote that the request for fatigue payment for 18 March 2024 would not be processed "due to the existing 8-hour agreement signed by you on 17 June 2020", noting that he was able to terminate the agreement going forward; that email is pleaded at 3(d) below. [¶¶ 247 to 248] The review decision records the employer's response of 6 September 2024 as confirming "you did not formally rescind the 8-hour agreement signed by you on 17 June 2020 and the change to your employment contract and adjustments in your working hours did not automatically invalidate the agreement". [¶ 252] 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b/>
          <w:sz w:val="20"/>
          <w:szCs w:val="20"/>
        </w:rPr>
        <w:t xml:space="preserve">The Manager and the agreement. </w:t>
      </w:r>
      <w:r>
        <w:rPr>
          <w:rFonts w:ascii="Arial" w:hAnsi="Arial" w:cs="Arial"/>
          <w:b w:val="0"/>
          <w:sz w:val="20"/>
          <w:szCs w:val="20"/>
        </w:rPr>
        <w:t>The review decision records that Ms Sandra Johnstone was the Switchboard Line Manager as at 8 December 2021, that Ms Danielle Cook was the "previous Switchboard Manager", and that "Ms Taylor was subsequently appointed to the Switchboard Manager role". [¶¶ 23 to 24] The Respondent does not allege that Ms Taylor was the Switchboard Manager on 17 June 2020. [¶ 25]</w:t>
      </w:r>
    </w:p>
    <w:p>
      <w:pPr>
        <w:spacing w:before="0" w:after="100" w:line="264" w:lineRule="auto"/>
      </w:pPr>
      <w:r>
        <w:rPr>
          <w:rFonts w:ascii="Arial" w:hAnsi="Arial" w:cs="Arial"/>
          <w:b/>
          <w:sz w:val="20"/>
          <w:szCs w:val="20"/>
        </w:rPr>
        <w:t xml:space="preserve">The rest of the record on the agreement. </w:t>
      </w:r>
      <w:r>
        <w:rPr>
          <w:rFonts w:ascii="Arial" w:hAnsi="Arial" w:cs="Arial"/>
          <w:b w:val="0"/>
          <w:sz w:val="20"/>
          <w:szCs w:val="20"/>
        </w:rPr>
        <w:t>The Respondent does not allege that the agreement was reviewed, re-executed or re-confirmed at any time between 17 June 2020 and 18 March 2024 [¶ 21], or that the Appellant was informed, at any time before 1 May 2024, that it could be terminated by him. [¶ 22] The review decision found "uncertainty between you and the employer regarding whether the 8-hour agreement continued to apply" [¶ 254], and found the rostering of the two shifts to be "in direct contradiction to the award and the 8-hour agreement". [¶ 260]</w:t>
      </w:r>
    </w:p>
    <w:p>
      <w:pPr>
        <w:spacing w:before="0" w:after="100" w:line="264" w:lineRule="auto"/>
      </w:pPr>
      <w:r>
        <w:rPr>
          <w:rFonts w:ascii="Arial" w:hAnsi="Arial" w:cs="Arial"/>
          <w:b/>
          <w:sz w:val="20"/>
          <w:szCs w:val="20"/>
        </w:rPr>
        <w:t xml:space="preserve">The Appellant's contention on the agreement. </w:t>
      </w:r>
      <w:r>
        <w:rPr>
          <w:rFonts w:ascii="Arial" w:hAnsi="Arial" w:cs="Arial"/>
          <w:b w:val="0"/>
          <w:sz w:val="20"/>
          <w:szCs w:val="20"/>
        </w:rPr>
        <w:t>The Appellant disputes the agreement’s application to these shifts and relies on the admitted facts above and the HR account of 7 July 2026. Its application to March 2024 is a contention for determination. Alternatively, even if the agreement applied in March 2024, a seven-hour interval was below eight hours.</w:t>
      </w:r>
    </w:p>
    <w:p>
      <w:pPr>
        <w:spacing w:before="0" w:after="100" w:line="264" w:lineRule="auto"/>
      </w:pPr>
      <w:r>
        <w:rPr>
          <w:rFonts w:ascii="Arial" w:hAnsi="Arial" w:cs="Arial"/>
          <w:sz w:val="20"/>
          <w:szCs w:val="20"/>
        </w:rPr>
        <w:t>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The emergency workload on those shifts. </w:t>
      </w:r>
      <w:r>
        <w:rPr>
          <w:rFonts w:ascii="Arial" w:hAnsi="Arial" w:cs="Arial"/>
          <w:b w:val="0"/>
          <w:sz w:val="20"/>
          <w:szCs w:val="20"/>
        </w:rPr>
        <w:t>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The codes. </w:t>
      </w:r>
      <w:r>
        <w:rPr>
          <w:rFonts w:ascii="Arial" w:hAnsi="Arial" w:cs="Arial"/>
          <w:b w:val="0"/>
          <w:sz w:val="20"/>
          <w:szCs w:val="20"/>
        </w:rPr>
        <w:t>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(Schedule, Part 2).</w:t>
      </w:r>
    </w:p>
    <w:p>
      <w:pPr>
        <w:spacing w:before="0" w:after="100" w:line="264" w:lineRule="auto"/>
      </w:pPr>
      <w:r>
        <w:rPr>
          <w:rFonts w:ascii="Arial" w:hAnsi="Arial" w:cs="Arial"/>
          <w:b/>
          <w:sz w:val="20"/>
          <w:szCs w:val="20"/>
        </w:rPr>
        <w:t xml:space="preserve">The employer's own fatigue policy. </w:t>
      </w:r>
      <w:r>
        <w:rPr>
          <w:rFonts w:ascii="Arial" w:hAnsi="Arial" w:cs="Arial"/>
          <w:b w:val="0"/>
          <w:sz w:val="20"/>
          <w:szCs w:val="20"/>
        </w:rPr>
        <w:t>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3(a) Earlier roster error and proposed roster - context only (7 August to 4 September 2023). </w:t>
      </w:r>
      <w:r>
        <w:rPr>
          <w:rFonts w:ascii="Arial" w:hAnsi="Arial" w:cs="Arial"/>
          <w:b w:val="0"/>
          <w:sz w:val="20"/>
          <w:szCs w:val="20"/>
        </w:rPr>
        <w:t>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3(b) Consecutive shifts and the seven-hour break (17 to 18 March 2024). </w:t>
      </w:r>
      <w:r>
        <w:rPr>
          <w:rFonts w:ascii="Arial" w:hAnsi="Arial" w:cs="Arial"/>
          <w:b w:val="0"/>
          <w:sz w:val="20"/>
          <w:szCs w:val="20"/>
        </w:rPr>
        <w:t>The Appellant was rostered to finish at 23:00 on 17 March 2024 and to commence at 06:00 on 18 March 2024, a break of seven hours. [¶ 284] The shift commencing on 18 March fell on a Monday, the first shift of the working week. [¶ 227] Payroll later recorded that the fortnight commencing 18 March 2024 had too many ordinary shifts and that one of the shifts needed to be overtime [¶ 188], as pleaded at Stressor 2(d). The break was rostered in a function the Respondent admits is critical to patient safety [¶ 289].</w:t>
      </w:r>
    </w:p>
    <w:p>
      <w:pPr>
        <w:spacing w:before="0" w:after="100" w:line="264" w:lineRule="auto"/>
      </w:pPr>
      <w:r>
        <w:rPr>
          <w:rFonts w:ascii="Arial" w:hAnsi="Arial" w:cs="Arial"/>
          <w:sz w:val="20"/>
          <w:szCs w:val="20"/>
        </w:rPr>
        <w:t>The Respondent does not allege that those consecutive shifts arose from a staff-initiated shift swap. [¶ 234] So, on the admitted record: the minimum break was ten hours, or eight by written agreement [¶ 285]; on 7 July 2026 the employer's Human Resources wrote that the 8-hour agreement "is only applied where staff initiated shift swaps have occurred" [¶¶ 224 to 225]; no swap is alleged [¶ 234]; the break was seven hours [¶ 284]; and the review decision found the rostering of the two shifts to be unreasonable management action [¶ 260].</w:t>
      </w:r>
    </w:p>
    <w:p>
      <w:pPr>
        <w:spacing w:before="0" w:after="100" w:line="264" w:lineRule="auto"/>
      </w:pPr>
      <w:r>
        <w:rPr>
          <w:rFonts w:ascii="Arial" w:hAnsi="Arial" w:cs="Arial"/>
          <w:b/>
          <w:sz w:val="20"/>
          <w:szCs w:val="20"/>
        </w:rPr>
        <w:t xml:space="preserve">The rest recorded between those shifts. </w:t>
      </w:r>
      <w:r>
        <w:rPr>
          <w:rFonts w:ascii="Arial" w:hAnsi="Arial" w:cs="Arial"/>
          <w:b w:val="0"/>
          <w:sz w:val="20"/>
          <w:szCs w:val="20"/>
        </w:rPr>
        <w:t>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So, across the pair of shifts, the Appellant's account is: about sixteen hours of work, on two eight-hour shifts; about four hours of travel, in four drives of about an hour each; and about four hours of sleep, of the four to five hours available.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The codes on the shift of 17 March 2024. </w:t>
      </w:r>
      <w:r>
        <w:rPr>
          <w:rFonts w:ascii="Arial" w:hAnsi="Arial" w:cs="Arial"/>
          <w:b w:val="0"/>
          <w:sz w:val="20"/>
          <w:szCs w:val="20"/>
        </w:rPr>
        <w:t>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The codes on the shift of 18 March 2024. </w:t>
      </w:r>
      <w:r>
        <w:rPr>
          <w:rFonts w:ascii="Arial" w:hAnsi="Arial" w:cs="Arial"/>
          <w:b w:val="0"/>
          <w:sz w:val="20"/>
          <w:szCs w:val="20"/>
        </w:rPr>
        <w:t>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Suites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sz w:val="20"/>
          <w:szCs w:val="20"/>
        </w:rPr>
        <w:t>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(Schedule, Part 1, Tab 31). The employer holds its own record of the MET calls for 17 and 18 March 2024. [¶ 268]</w:t>
      </w:r>
    </w:p>
    <w:p>
      <w:pPr>
        <w:spacing w:before="0" w:after="100" w:line="264" w:lineRule="auto"/>
      </w:pPr>
      <w:r>
        <w:rPr>
          <w:rFonts w:ascii="Arial" w:hAnsi="Arial" w:cs="Arial"/>
          <w:b/>
          <w:sz w:val="20"/>
          <w:szCs w:val="20"/>
        </w:rPr>
        <w:t xml:space="preserve">The ordinary call load, and the Monday. </w:t>
      </w:r>
      <w:r>
        <w:rPr>
          <w:rFonts w:ascii="Arial" w:hAnsi="Arial" w:cs="Arial"/>
          <w:b w:val="0"/>
          <w:sz w:val="20"/>
          <w:szCs w:val="20"/>
        </w:rPr>
        <w:t>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3(c) Sick leave after the consecutive shifts (19 March 2024). </w:t>
      </w:r>
      <w:r>
        <w:rPr>
          <w:rFonts w:ascii="Arial" w:hAnsi="Arial" w:cs="Arial"/>
          <w:b w:val="0"/>
          <w:sz w:val="20"/>
          <w:szCs w:val="20"/>
        </w:rPr>
        <w:t>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b w:val="0"/>
          <w:sz w:val="20"/>
          <w:szCs w:val="20"/>
        </w:rPr>
        <w:t>The Respondent pleads that the Appellant took leave on 19 March 2024 but says this was paid leave, and that pursuant to clause 18.10 of the Award he is not entitled to fatigue leave because he was not performing overtime. [¶¶ 236 to 237] The Respondent's outlines served 24 September 2026 give notice that its payroll witness will say the Award's fatigue provision "applies to breaks around overtime, not between two ordinary shifts". On that account, no fatigue-leave entitlement under clause 18.10 arose from the short break between ordinary shifts. That contention does not itself answer whether the roster or the response to fatigue was reasonable.</w:t>
      </w:r>
    </w:p>
    <w:p>
      <w:pPr>
        <w:spacing w:before="0" w:after="100" w:line="264" w:lineRule="auto"/>
      </w:pPr>
      <w:r>
        <w:rPr>
          <w:rFonts w:ascii="Arial" w:hAnsi="Arial" w:cs="Arial"/>
          <w:b/>
          <w:sz w:val="20"/>
          <w:szCs w:val="20"/>
        </w:rPr>
        <w:t xml:space="preserve">The codes on 19 March 2024, the day of the sick leave. </w:t>
      </w:r>
      <w:r>
        <w:rPr>
          <w:rFonts w:ascii="Arial" w:hAnsi="Arial" w:cs="Arial"/>
          <w:b w:val="0"/>
          <w:sz w:val="20"/>
          <w:szCs w:val="20"/>
        </w:rPr>
        <w:t>Sick leave of 7.60 hours was taken that day. [¶ 235] The register records sixteen entries on 19 March 2024: at 0:17 a MET call to Ward MIU bed 21; at 1:41 a Code Grey in ED Ambi Care; at 9:27 a Paediatric MET call to Ward CIU bed 16; at 10:28 a simulation MET call (adults) to Ward 7C bed 3; at 11:30 a MET call to Ward 2I bed 20; at 11:34 a MET call to the same patient, Ward 2I bed 20, annotated "CALLED VIA SWITRCHBOARD" [sic]; at 12:36 a MET call to Ward 2I bed 12; at 13:42 a MET call to Ward 3DR bed 11; at 16:28 a further MET call to Ward 3DR bed 11, cancelled at 16:29; at 16:48 a Code Grey in the ED mental health lounge; at 17:23 a further MET call to Ward 3DR bed 11; at 17:31 a Code Grey in ED Ambi Care room 2; at 18:45 a MET call to Ward 5B bed 7; at 21:28 a Code Grey in the ED mental health lounge; and at 22:25 a Code Grey at ED QAS triage. Six of those fell between 06:00 and 14:00: a Paediatric MET call, a simulation, and four adult MET calls. Ward 3DR bed 11, the subject of a MET call at 14:38 on the shift of 18 March, was the subject of further MET calls at 13:42, 16:28 and 17:23 on 19 March.</w:t>
      </w:r>
    </w:p>
    <w:p>
      <w:pPr>
        <w:spacing w:before="0" w:after="100" w:line="264" w:lineRule="auto"/>
      </w:pPr>
      <w:r>
        <w:rPr>
          <w:rFonts w:ascii="Arial" w:hAnsi="Arial" w:cs="Arial"/>
          <w:b/>
          <w:sz w:val="20"/>
          <w:szCs w:val="20"/>
        </w:rPr>
        <w:t xml:space="preserve">3(d) Fatigue enquiry and refusal (8 April to 1 May 2024). </w:t>
      </w:r>
      <w:r>
        <w:rPr>
          <w:rFonts w:ascii="Arial" w:hAnsi="Arial" w:cs="Arial"/>
          <w:b w:val="0"/>
          <w:sz w:val="20"/>
          <w:szCs w:val="20"/>
        </w:rPr>
        <w:t>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So the enquiry of 8 April 2024 was answered on 1 May 2024, 23 days later, with a refusal. In between were the acknowledgment of 9 April, the escalation to Human Resources, and the Appellant's email of 24 April; no other response is alleged. [¶¶ 242 to 250] So the day after the consecutive shifts was recorded against the Appellant's own sick leave [¶ 235], and the Respondent says no fatigue leave was due for it [¶¶ 236 to 237]. The refusal relied on an agreement signed at a time the Respondent does not allege the Manager held that role, and never reviewed; the Respondent does not allege that he was told, before that day, that he could end it "going forward". [¶¶ 21 to 22, 25, 242 to 250]</w:t>
      </w:r>
    </w:p>
    <w:p>
      <w:pPr>
        <w:spacing w:before="0" w:after="100" w:line="264" w:lineRule="auto"/>
      </w:pPr>
      <w:r>
        <w:rPr>
          <w:rFonts w:ascii="Arial" w:hAnsi="Arial" w:cs="Arial"/>
          <w:b/>
          <w:sz w:val="20"/>
          <w:szCs w:val="20"/>
        </w:rPr>
        <w:t xml:space="preserve">3(e) Roster line error and proposed alternatives (16 to 26 April 2024). </w:t>
      </w:r>
      <w:r>
        <w:rPr>
          <w:rFonts w:ascii="Arial" w:hAnsi="Arial" w:cs="Arial"/>
          <w:b w:val="0"/>
          <w:sz w:val="20"/>
          <w:szCs w:val="20"/>
        </w:rPr>
        <w:t>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The Respondent does not allege that she got in touch with him about alternative shifts following that meeting. [¶ 213]</w:t>
      </w:r>
    </w:p>
    <w:p>
      <w:pPr>
        <w:spacing w:before="0" w:after="100" w:line="264" w:lineRule="auto"/>
      </w:pPr>
      <w:r>
        <w:rPr>
          <w:rFonts w:ascii="Arial" w:hAnsi="Arial" w:cs="Arial"/>
          <w:b/>
          <w:sz w:val="20"/>
          <w:szCs w:val="20"/>
        </w:rPr>
        <w:t xml:space="preserve">3(f) Fatigue toolkit raised and HR advice awaited (1 to 8 May 2024). </w:t>
      </w:r>
      <w:r>
        <w:rPr>
          <w:rFonts w:ascii="Arial" w:hAnsi="Arial" w:cs="Arial"/>
          <w:b w:val="0"/>
          <w:sz w:val="20"/>
          <w:szCs w:val="20"/>
        </w:rP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The Respondent does not allege that the toolkit was reviewed or that any feedback was provided before 18 June 2024. [¶ 216]</w:t>
      </w:r>
    </w:p>
    <w:p>
      <w:pPr>
        <w:spacing w:before="0" w:after="100" w:line="264" w:lineRule="auto"/>
      </w:pPr>
      <w:r>
        <w:rPr>
          <w:rFonts w:ascii="Arial" w:hAnsi="Arial" w:cs="Arial"/>
          <w:sz w:val="20"/>
          <w:szCs w:val="20"/>
        </w:rPr>
        <w:t>On 8 May 2024 at 9:08 am the Director replied that she was following up with HR for further advice and would get back to him as soon as possible. [¶ 217]</w:t>
      </w:r>
    </w:p>
    <w:p>
      <w:pPr>
        <w:spacing w:before="0" w:after="100" w:line="264" w:lineRule="auto"/>
      </w:pPr>
      <w:r>
        <w:rPr>
          <w:rFonts w:ascii="Arial" w:hAnsi="Arial" w:cs="Arial"/>
          <w:b/>
          <w:sz w:val="20"/>
          <w:szCs w:val="20"/>
        </w:rPr>
        <w:t xml:space="preserve">3(g) Risk rating and roster decision recorded (10 May 2024). </w:t>
      </w:r>
      <w:r>
        <w:rPr>
          <w:rFonts w:ascii="Arial" w:hAnsi="Arial" w:cs="Arial"/>
          <w:b w:val="0"/>
          <w:sz w:val="20"/>
          <w:szCs w:val="20"/>
        </w:rPr>
        <w:t>On 10 May 2024 at 2:08 pm the Director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She stated: "I acknowledge there has been a few rostering errors made by Chloe with regards to Cory's line in past rosters". [¶ 220]</w:t>
      </w:r>
    </w:p>
    <w:p>
      <w:pPr>
        <w:spacing w:before="0" w:after="100" w:line="264" w:lineRule="auto"/>
      </w:pPr>
      <w:r>
        <w:rPr>
          <w:rFonts w:ascii="Arial" w:hAnsi="Arial" w:cs="Arial"/>
          <w:sz w:val="20"/>
          <w:szCs w:val="20"/>
        </w:rPr>
        <w:t>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3(h) HR follow-up with the fatigue guideline (20 May 2024). </w:t>
      </w:r>
      <w:r>
        <w:rPr>
          <w:rFonts w:ascii="Arial" w:hAnsi="Arial" w:cs="Arial"/>
          <w:b w:val="0"/>
          <w:sz w:val="20"/>
          <w:szCs w:val="20"/>
        </w:rPr>
        <w:t>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keepNext/>
        <w:spacing w:before="0" w:after="100" w:line="264" w:lineRule="auto"/>
      </w:pPr>
      <w:r>
        <w:rPr>
          <w:rFonts w:ascii="Arial" w:hAnsi="Arial" w:cs="Arial"/>
          <w:b/>
          <w:sz w:val="20"/>
          <w:szCs w:val="20"/>
        </w:rPr>
        <w:t>Supporting records about the fatigue arrangements</w:t>
      </w:r>
      <w:r>
        <w:rPr>
          <w:rStyle w:val="CommentReference"/>
        </w:rPr>
      </w:r>
    </w:p>
    <w:p>
      <w:pPr>
        <w:spacing w:before="0" w:after="100" w:line="264" w:lineRule="auto"/>
      </w:pPr>
      <w:r>
        <w:rPr>
          <w:rFonts w:ascii="Arial" w:hAnsi="Arial" w:cs="Arial"/>
          <w:b/>
          <w:sz w:val="20"/>
          <w:szCs w:val="20"/>
        </w:rPr>
        <w:t xml:space="preserve">Implementation and records of fatigue risk management. </w:t>
      </w:r>
      <w:r>
        <w:rPr>
          <w:rFonts w:ascii="Arial" w:hAnsi="Arial" w:cs="Arial"/>
          <w:b w:val="0"/>
          <w:sz w:val="20"/>
          <w:szCs w:val="20"/>
        </w:rP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sz w:val="20"/>
          <w:szCs w:val="20"/>
        </w:rPr>
        <w:t>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It is the guideline the Director sent to Human Resources on 20 May 2024 [¶¶ 222 to 223], ten days after she and the Manager had assessed the fatigue risk of the Appellant's roster as moderate [¶ 219]; the Chief Executive's letter states that fatigue risk management assessment at the Switchboard was implemented only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b/>
          <w:sz w:val="20"/>
          <w:szCs w:val="20"/>
        </w:rPr>
        <w:t xml:space="preserve">Where the framework came from. </w:t>
      </w:r>
      <w:r>
        <w:rPr>
          <w:rFonts w:ascii="Arial" w:hAnsi="Arial" w:cs="Arial"/>
          <w:b w:val="0"/>
          <w:sz w:val="20"/>
          <w:szCs w:val="20"/>
        </w:rPr>
        <w:t>The guideline's references list "Queensland Ombudsman (2006). The Neville Report". [p 31, section 12] Queensland Health's Policy on Medical Fatigue Risk Management, which took effect on 1 July 2008, followed that report (Queensland Ombudsman, The Neville Report Update, 2011), and the resource pack of December 2018 and the 2021 guideline that replaced it apply the system to every "worker" of a Hospital and Health Service, including "An employee" [pp 29 to 30, section 10; p 30, section 11]; the Switchboard is where the codes are received and paged. [¶ 8]</w:t>
      </w:r>
    </w:p>
    <w:p>
      <w:pPr>
        <w:keepNext/>
        <w:spacing w:before="0" w:after="100" w:line="264" w:lineRule="auto"/>
      </w:pPr>
      <w:r>
        <w:rPr>
          <w:rFonts w:ascii="Arial" w:hAnsi="Arial" w:cs="Arial"/>
          <w:b/>
          <w:sz w:val="20"/>
          <w:szCs w:val="20"/>
        </w:rPr>
        <w:t>Findings recorded in the decision under appeal</w:t>
      </w:r>
    </w:p>
    <w:p>
      <w:pPr>
        <w:spacing w:before="0" w:after="100" w:line="264" w:lineRule="auto"/>
      </w:pPr>
      <w:r>
        <w:rPr>
          <w:rFonts w:ascii="Arial" w:hAnsi="Arial" w:cs="Arial"/>
          <w:b/>
          <w:sz w:val="20"/>
          <w:szCs w:val="20"/>
        </w:rPr>
        <w:t xml:space="preserve">The findings in the decision under appeal. </w:t>
      </w:r>
      <w:r>
        <w:rPr>
          <w:rFonts w:ascii="Arial" w:hAnsi="Arial" w:cs="Arial"/>
          <w:b w:val="0"/>
          <w:sz w:val="20"/>
          <w:szCs w:val="20"/>
        </w:rPr>
        <w:t>The review decision states: "The break between the shift on 17 March 2024 and 18 March 2024 equated to 7 hours." [¶ 258]</w:t>
      </w:r>
    </w:p>
    <w:p>
      <w:pPr>
        <w:spacing w:before="0" w:after="100" w:line="264" w:lineRule="auto"/>
      </w:pPr>
      <w:r>
        <w:rPr>
          <w:rFonts w:ascii="Arial" w:hAnsi="Arial" w:cs="Arial"/>
          <w:sz w:val="20"/>
          <w:szCs w:val="20"/>
        </w:rPr>
        <w:t>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It states, under the heading "Conclusion", that the Appellant "sustained a personal injury of a psychological nature". [¶ 261]</w:t>
      </w:r>
    </w:p>
    <w:p>
      <w:pPr>
        <w:spacing w:before="0" w:after="100" w:line="264" w:lineRule="auto"/>
      </w:pPr>
      <w:r>
        <w:rPr>
          <w:rFonts w:ascii="Arial" w:hAnsi="Arial" w:cs="Arial"/>
          <w:sz w:val="20"/>
          <w:szCs w:val="20"/>
        </w:rPr>
        <w:t>It states that his injury "arose out of employment, to the extent that it arose out of factors 2, 3 and 4, where employment was a significant contributing factor". [¶ 262]</w:t>
      </w:r>
    </w:p>
    <w:p>
      <w:pPr>
        <w:keepNext/>
        <w:spacing w:before="0" w:after="100" w:line="264" w:lineRule="auto"/>
      </w:pPr>
      <w:r>
        <w:rPr>
          <w:rFonts w:ascii="Arial" w:hAnsi="Arial" w:cs="Arial"/>
          <w:b/>
          <w:sz w:val="20"/>
          <w:szCs w:val="20"/>
        </w:rPr>
        <w:t>The Respondent's pleaded answer and subsequent roster proposal</w:t>
      </w:r>
    </w:p>
    <w:p>
      <w:pPr>
        <w:spacing w:before="0" w:after="100" w:line="264" w:lineRule="auto"/>
      </w:pPr>
      <w:r>
        <w:rPr>
          <w:rFonts w:ascii="Arial" w:hAnsi="Arial" w:cs="Arial"/>
          <w:sz w:val="20"/>
          <w:szCs w:val="20"/>
        </w:rP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The Respondent's pleaded position on the roster. </w:t>
      </w:r>
      <w:r>
        <w:rPr>
          <w:rFonts w:ascii="Arial" w:hAnsi="Arial" w:cs="Arial"/>
          <w:b w:val="0"/>
          <w:sz w:val="20"/>
          <w:szCs w:val="20"/>
        </w:rPr>
        <w:t>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 xml:space="preserve">Beyond the agreement and the sick-leave matters at 3(c), the Respondent's pleaded answer, including paragraph 27 of its statement, is at Part C, paragraph 10 [¶¶ 238, 300 to 303]; its account of how complaints were handled is pleaded at Stressor 1, supporting records [¶¶ 267, 272].</w:t>
      </w:r>
    </w:p>
    <w:p>
      <w:pPr>
        <w:spacing w:before="80" w:after="140" w:line="264" w:lineRule="auto"/>
      </w:pPr>
      <w:r>
        <w:rPr>
          <w:rFonts w:ascii="Arial" w:hAnsi="Arial" w:cs="Arial"/>
          <w:b/>
          <w:sz w:val="20"/>
          <w:szCs w:val="20"/>
        </w:rPr>
        <w:t xml:space="preserve">The medical link - Stressor 3. </w:t>
      </w:r>
      <w:r>
        <w:rPr>
          <w:rFonts w:ascii="Arial" w:hAnsi="Arial" w:cs="Arial"/>
          <w:sz w:val="20"/>
          <w:szCs w:val="20"/>
        </w:rP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keepNext/>
        <w:spacing w:before="180" w:after="80" w:line="264" w:lineRule="auto"/>
      </w:pPr>
      <w:r>
        <w:rPr>
          <w:rFonts w:ascii="Arial" w:hAnsi="Arial" w:cs="Arial"/>
          <w:b/>
          <w:sz w:val="22"/>
          <w:szCs w:val="22"/>
        </w:rPr>
        <w:t>3. What happened after the injury, and the record made at the time</w:t>
      </w:r>
    </w:p>
    <w:p>
      <w:pPr>
        <w:spacing w:before="0" w:after="100" w:line="264" w:lineRule="auto"/>
      </w:pPr>
      <w:r>
        <w:rPr>
          <w:rFonts w:ascii="Arial" w:hAnsi="Arial" w:cs="Arial"/>
          <w:b/>
          <w:sz w:val="20"/>
          <w:szCs w:val="20"/>
        </w:rPr>
        <w:t xml:space="preserve">3.1 After the injury - subsequent conduct, relied on for context and continuing effect, not as cause. </w:t>
      </w:r>
      <w:r>
        <w:rPr>
          <w:rFonts w:ascii="Arial" w:hAnsi="Arial" w:cs="Arial"/>
          <w:sz w:val="20"/>
          <w:szCs w:val="20"/>
        </w:rPr>
        <w:t>The work capacity certificates certify no functional capacity from 1 July to 6 October 2024. Matters after the date of injury are not relied on as causes of it; those stated in this paragraph are stated for context and continuing effect only, as they were at Part B.3 of the Amended Statement filed 7 April 2026. (a) On 12 and 16 July 2024, while on certified leave, the Appellant was required to attend meetings convened by management. (b) On 8 October 2024 the employer terminated his employment on the basis of abandonment of employment, following certificates of no functional capacity from 1 July to 6 October 2024; he applied for reinstatement (TD/2024/110) and was reinstated. (c) The Respondent obtained the Appellant's medical records under the Form 29 signed 4 July 2025 without serving that notice on him; on 18 February 2026 it admitted that it did not serve it (Form 24, paragraph 25). Those are the records relied on at Part B.1. The Respondent's amended statement of 13 May 2026 says of (a) to (c) that they post-date the injury and are not relevant; the Appellant relies on them as stated above, and on (c) for the provenance of the medical record. (d)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The treating psychiatrist wrote to the employer on 13 August 2026 and, on 19 August 2026, asked the basis of the request. On 24 August 2026 the Appellant authorised the psychiatrist to communicate with the employer on his capacity for work. As at 5 September 2026 the enquiry of 19 August 2026 had not been answered. These are the Appellant's own evidence and are not relied on as causes of the injury.</w:t>
      </w:r>
      <w:r>
        <w:rPr>
          <w:rStyle w:val="CommentReference"/>
        </w:rPr>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b w:val="0"/>
          <w:sz w:val="20"/>
          <w:szCs w:val="20"/>
        </w:rPr>
        <w:t>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Stressors 1(f), 1(g) and 1(h)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The Respondent's amended statement of facts and contentions states at paragraph 11 that it does not admit the allegations in Stressor 1(a) of the Appellant's Amended Statement of 7 April 2026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4. The intervals</w:t>
      </w:r>
    </w:p>
    <w:p>
      <w:pPr>
        <w:spacing w:before="0" w:after="100" w:line="264" w:lineRule="auto"/>
      </w:pPr>
      <w:r>
        <w:rPr>
          <w:rFonts w:ascii="Arial" w:hAnsi="Arial" w:cs="Arial"/>
          <w:b/>
          <w:sz w:val="20"/>
          <w:szCs w:val="20"/>
        </w:rPr>
        <w:t xml:space="preserve">The intervals below are worked out from admitted dates and times or from the specifically identified Payroll disclosure. </w:t>
      </w:r>
      <w:r>
        <w:rPr>
          <w:rFonts w:ascii="Arial" w:hAnsi="Arial" w:cs="Arial"/>
          <w:b w:val="0"/>
          <w:sz w:val="20"/>
          <w:szCs w:val="20"/>
        </w:rPr>
        <w:t>They are arithmetic only. They do not depend on whether any statement in a document is true. Each is pleaded in its place in Part B.2; this table collects them.</w:t>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722"/>
        <w:gridCol w:w="1927"/>
        <w:gridCol w:w="1638"/>
        <w:gridCol w:w="1349"/>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Interval</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Length</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Where pleaded</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Facts</w:t>
            </w:r>
          </w:p>
        </w:tc>
      </w:tr>
      <w:tr>
        <w:trPr/>
        <w:tc>
          <w:tcPr>
            <w:tcMar>
              <w:top w:w="65" w:type="dxa"/>
              <w:left w:w="80" w:type="dxa"/>
              <w:bottom w:w="65" w:type="dxa"/>
              <w:right w:w="80" w:type="dxa"/>
            </w:tcMar>
          </w:tcPr>
          <w:p>
            <w:r>
              <w:rPr>
                <w:rFonts w:ascii="Arial" w:hAnsi="Arial"/>
                <w:color w:val="000000"/>
                <w:sz w:val="18"/>
              </w:rPr>
              <w:t>Rostered finish on 17 March 2024 at 23:00 to rostered start on 18 March 2024 at 06:00. The Appellant relies on the ten-hour minimum or, alternatively, eight hours if the agreement applied; the travel account is separately identified.</w:t>
            </w:r>
          </w:p>
        </w:tc>
        <w:tc>
          <w:tcPr>
            <w:tcMar>
              <w:top w:w="65" w:type="dxa"/>
              <w:left w:w="80" w:type="dxa"/>
              <w:bottom w:w="65" w:type="dxa"/>
              <w:right w:w="80" w:type="dxa"/>
            </w:tcMar>
          </w:tcPr>
          <w:p>
            <w:pPr>
              <w:spacing w:after="0"/>
            </w:pPr>
            <w:r>
              <w:rPr>
                <w:rFonts w:ascii="Arial" w:hAnsi="Arial" w:cs="Arial"/>
                <w:color w:val="000000"/>
                <w:sz w:val="17"/>
                <w:szCs w:val="17"/>
              </w:rPr>
              <w:t xml:space="preserve">7 hours</w:t>
            </w:r>
          </w:p>
        </w:tc>
        <w:tc>
          <w:tcPr>
            <w:tcMar>
              <w:top w:w="65" w:type="dxa"/>
              <w:left w:w="80" w:type="dxa"/>
              <w:bottom w:w="65" w:type="dxa"/>
              <w:right w:w="80" w:type="dxa"/>
            </w:tcMar>
          </w:tcPr>
          <w:p>
            <w:r>
              <w:rPr>
                <w:rFonts w:ascii="Arial" w:hAnsi="Arial"/>
                <w:color w:val="000000"/>
                <w:sz w:val="18"/>
              </w:rPr>
              <w:t>3(b); Stressor 3 minimum-break and review-decision paragraphs</w:t>
            </w:r>
          </w:p>
        </w:tc>
        <w:tc>
          <w:tcPr>
            <w:tcMar>
              <w:top w:w="65" w:type="dxa"/>
              <w:left w:w="80" w:type="dxa"/>
              <w:bottom w:w="65" w:type="dxa"/>
              <w:right w:w="80" w:type="dxa"/>
            </w:tcMar>
          </w:tcPr>
          <w:p>
            <w:pPr>
              <w:spacing w:after="0"/>
            </w:pPr>
            <w:r>
              <w:rPr>
                <w:rFonts w:ascii="Arial" w:hAnsi="Arial" w:cs="Arial"/>
                <w:color w:val="000000"/>
                <w:sz w:val="17"/>
                <w:szCs w:val="17"/>
              </w:rPr>
              <w:t xml:space="preserve">¶¶ 284 to 285, 225, 234, 251, 260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MASPER Registrar's first report, 3 May 2024 at 3:06 pm, to the Manager's first reply, 9 May 2024 at 9:20 am (her second report was sent on the fifth calendar day; the reply on the sixth)</w:t>
            </w:r>
          </w:p>
        </w:tc>
        <w:tc>
          <w:tcPr>
            <w:tcMar>
              <w:top w:w="65" w:type="dxa"/>
              <w:left w:w="80" w:type="dxa"/>
              <w:bottom w:w="65" w:type="dxa"/>
              <w:right w:w="80" w:type="dxa"/>
            </w:tcMar>
          </w:tcPr>
          <w:p>
            <w:pPr>
              <w:spacing w:after="0"/>
            </w:pPr>
            <w:r>
              <w:rPr>
                <w:rFonts w:ascii="Arial" w:hAnsi="Arial" w:cs="Arial"/>
                <w:color w:val="000000"/>
                <w:sz w:val="17"/>
                <w:szCs w:val="17"/>
              </w:rPr>
              <w:t xml:space="preserve">5 days, 18 hours, 14 minutes</w:t>
            </w:r>
          </w:p>
        </w:tc>
        <w:tc>
          <w:tcPr>
            <w:tcMar>
              <w:top w:w="65" w:type="dxa"/>
              <w:left w:w="80" w:type="dxa"/>
              <w:bottom w:w="65" w:type="dxa"/>
              <w:right w:w="80" w:type="dxa"/>
            </w:tcMar>
          </w:tcPr>
          <w:p>
            <w:r>
              <w:rPr>
                <w:rFonts w:ascii="Arial" w:hAnsi="Arial"/>
                <w:color w:val="000000"/>
                <w:sz w:val="18"/>
              </w:rPr>
              <w:t>1(h)</w:t>
            </w:r>
          </w:p>
        </w:tc>
        <w:tc>
          <w:tcPr>
            <w:tcMar>
              <w:top w:w="65" w:type="dxa"/>
              <w:left w:w="80" w:type="dxa"/>
              <w:bottom w:w="65" w:type="dxa"/>
              <w:right w:w="80" w:type="dxa"/>
            </w:tcMar>
          </w:tcPr>
          <w:p>
            <w:pPr>
              <w:spacing w:after="0"/>
            </w:pPr>
            <w:r>
              <w:rPr>
                <w:rFonts w:ascii="Arial" w:hAnsi="Arial" w:cs="Arial"/>
                <w:color w:val="000000"/>
                <w:sz w:val="17"/>
                <w:szCs w:val="17"/>
              </w:rPr>
              <w:t xml:space="preserve">¶¶ 62 to 64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Integrated Respiratory Service's first email, 15 May 2024 at 11:47 am, to its second, 20 May 2024 at 11:03 am</w:t>
            </w:r>
          </w:p>
        </w:tc>
        <w:tc>
          <w:tcPr>
            <w:tcMar>
              <w:top w:w="65" w:type="dxa"/>
              <w:left w:w="80" w:type="dxa"/>
              <w:bottom w:w="65" w:type="dxa"/>
              <w:right w:w="80" w:type="dxa"/>
            </w:tcMar>
          </w:tcPr>
          <w:p>
            <w:pPr>
              <w:spacing w:after="0"/>
            </w:pPr>
            <w:r>
              <w:rPr>
                <w:rFonts w:ascii="Arial" w:hAnsi="Arial" w:cs="Arial"/>
                <w:color w:val="000000"/>
                <w:sz w:val="17"/>
                <w:szCs w:val="17"/>
              </w:rPr>
              <w:t xml:space="preserve">the fifth calendar day</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92</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first email to the Appellant's escalation, 20 May 2024 at 2:05 pm</w:t>
            </w:r>
          </w:p>
        </w:tc>
        <w:tc>
          <w:tcPr>
            <w:tcMar>
              <w:top w:w="65" w:type="dxa"/>
              <w:left w:w="80" w:type="dxa"/>
              <w:bottom w:w="65" w:type="dxa"/>
              <w:right w:w="80" w:type="dxa"/>
            </w:tcMar>
          </w:tcPr>
          <w:p>
            <w:pPr>
              <w:spacing w:after="0"/>
            </w:pPr>
            <w:r>
              <w:rPr>
                <w:rFonts w:ascii="Arial" w:hAnsi="Arial" w:cs="Arial"/>
                <w:color w:val="000000"/>
                <w:sz w:val="17"/>
                <w:szCs w:val="17"/>
              </w:rPr>
              <w:t xml:space="preserve">5 days, 2 hours, 18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97 to 98</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Service's second email to that escalation</w:t>
            </w:r>
          </w:p>
        </w:tc>
        <w:tc>
          <w:tcPr>
            <w:tcMar>
              <w:top w:w="65" w:type="dxa"/>
              <w:left w:w="80" w:type="dxa"/>
              <w:bottom w:w="65" w:type="dxa"/>
              <w:right w:w="80" w:type="dxa"/>
            </w:tcMar>
          </w:tcPr>
          <w:p>
            <w:pPr>
              <w:spacing w:after="0"/>
            </w:pPr>
            <w:r>
              <w:rPr>
                <w:rFonts w:ascii="Arial" w:hAnsi="Arial" w:cs="Arial"/>
                <w:color w:val="000000"/>
                <w:sz w:val="17"/>
                <w:szCs w:val="17"/>
              </w:rPr>
              <w:t xml:space="preserve">3 hours, 2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escalation to the Manager's reply at 4:30 pm, two hours after the office hours she had stated to all Switchboard staff on 17 May 2024 had ended</w:t>
            </w:r>
          </w:p>
        </w:tc>
        <w:tc>
          <w:tcPr>
            <w:tcMar>
              <w:top w:w="65" w:type="dxa"/>
              <w:left w:w="80" w:type="dxa"/>
              <w:bottom w:w="65" w:type="dxa"/>
              <w:right w:w="80" w:type="dxa"/>
            </w:tcMar>
          </w:tcPr>
          <w:p>
            <w:pPr>
              <w:spacing w:after="0"/>
            </w:pPr>
            <w:r>
              <w:rPr>
                <w:rFonts w:ascii="Arial" w:hAnsi="Arial" w:cs="Arial"/>
                <w:color w:val="000000"/>
                <w:sz w:val="17"/>
                <w:szCs w:val="17"/>
              </w:rPr>
              <w:t xml:space="preserve">2 hours, 25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102 to 103</w:t>
            </w:r>
          </w:p>
        </w:tc>
      </w:tr>
      <w:tr>
        <w:trPr/>
        <w:tc>
          <w:tcPr>
            <w:tcMar>
              <w:top w:w="65" w:type="dxa"/>
              <w:left w:w="80" w:type="dxa"/>
              <w:bottom w:w="65" w:type="dxa"/>
              <w:right w:w="80" w:type="dxa"/>
            </w:tcMar>
          </w:tcPr>
          <w:p>
            <w:r>
              <w:rPr>
                <w:rFonts w:ascii="Arial" w:hAnsi="Arial"/>
                <w:color w:val="000000"/>
                <w:sz w:val="18"/>
              </w:rPr>
              <w:t>Fatigue enquiry of 8 April 2024 to the substantive response of 1 May 2024; acknowledged on 9 April, with no further response alleged before 1 May</w:t>
            </w:r>
          </w:p>
        </w:tc>
        <w:tc>
          <w:tcPr>
            <w:tcMar>
              <w:top w:w="65" w:type="dxa"/>
              <w:left w:w="80" w:type="dxa"/>
              <w:bottom w:w="65" w:type="dxa"/>
              <w:right w:w="80" w:type="dxa"/>
            </w:tcMar>
          </w:tcPr>
          <w:p>
            <w:pPr>
              <w:spacing w:after="0"/>
            </w:pPr>
            <w:r>
              <w:rPr>
                <w:rFonts w:ascii="Arial" w:hAnsi="Arial" w:cs="Arial"/>
                <w:color w:val="000000"/>
                <w:sz w:val="17"/>
                <w:szCs w:val="17"/>
              </w:rPr>
              <w:t xml:space="preserve">23 days</w:t>
            </w:r>
          </w:p>
        </w:tc>
        <w:tc>
          <w:tcPr>
            <w:tcMar>
              <w:top w:w="65" w:type="dxa"/>
              <w:left w:w="80" w:type="dxa"/>
              <w:bottom w:w="65" w:type="dxa"/>
              <w:right w:w="80" w:type="dxa"/>
            </w:tcMar>
          </w:tcPr>
          <w:p>
            <w:r>
              <w:rPr>
                <w:rFonts w:ascii="Arial" w:hAnsi="Arial"/>
                <w:color w:val="000000"/>
                <w:sz w:val="18"/>
              </w:rPr>
              <w:t>3(d)</w:t>
            </w:r>
          </w:p>
        </w:tc>
        <w:tc>
          <w:tcPr>
            <w:tcMar>
              <w:top w:w="65" w:type="dxa"/>
              <w:left w:w="80" w:type="dxa"/>
              <w:bottom w:w="65" w:type="dxa"/>
              <w:right w:w="80" w:type="dxa"/>
            </w:tcMar>
          </w:tcPr>
          <w:p>
            <w:pPr>
              <w:spacing w:after="0"/>
            </w:pPr>
            <w:r>
              <w:rPr>
                <w:rFonts w:ascii="Arial" w:hAnsi="Arial" w:cs="Arial"/>
                <w:color w:val="000000"/>
                <w:sz w:val="17"/>
                <w:szCs w:val="17"/>
              </w:rPr>
              <w:t xml:space="preserve">¶¶ 249 to 250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Third submission of the special pandemic leave request, 29 February 2024 at 11:07:28, to its approval at 11:21:03</w:t>
            </w:r>
          </w:p>
        </w:tc>
        <w:tc>
          <w:tcPr>
            <w:tcMar>
              <w:top w:w="65" w:type="dxa"/>
              <w:left w:w="80" w:type="dxa"/>
              <w:bottom w:w="65" w:type="dxa"/>
              <w:right w:w="80" w:type="dxa"/>
            </w:tcMar>
          </w:tcPr>
          <w:p>
            <w:pPr>
              <w:spacing w:after="0"/>
            </w:pPr>
            <w:r>
              <w:rPr>
                <w:rFonts w:ascii="Arial" w:hAnsi="Arial" w:cs="Arial"/>
                <w:color w:val="000000"/>
                <w:sz w:val="17"/>
                <w:szCs w:val="17"/>
              </w:rPr>
              <w:t xml:space="preserve">13 minutes, 35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Creation of the draft, 20 February 2024, to final approval, 1 March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 4 hours, 40 minutes, 20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Removal of database access, 18 July 2023, to 18 June 2024; no restoration alleged</w:t>
            </w:r>
          </w:p>
        </w:tc>
        <w:tc>
          <w:tcPr>
            <w:tcMar>
              <w:top w:w="65" w:type="dxa"/>
              <w:left w:w="80" w:type="dxa"/>
              <w:bottom w:w="65" w:type="dxa"/>
              <w:right w:w="80" w:type="dxa"/>
            </w:tcMar>
          </w:tcPr>
          <w:p>
            <w:pPr>
              <w:spacing w:after="0"/>
            </w:pPr>
            <w:r>
              <w:rPr>
                <w:rFonts w:ascii="Arial" w:hAnsi="Arial" w:cs="Arial"/>
                <w:color w:val="000000"/>
                <w:sz w:val="17"/>
                <w:szCs w:val="17"/>
              </w:rPr>
              <w:t xml:space="preserve">11 months</w:t>
            </w:r>
          </w:p>
        </w:tc>
        <w:tc>
          <w:tcPr>
            <w:tcMar>
              <w:top w:w="65" w:type="dxa"/>
              <w:left w:w="80" w:type="dxa"/>
              <w:bottom w:w="65" w:type="dxa"/>
              <w:right w:w="80" w:type="dxa"/>
            </w:tcMar>
          </w:tcPr>
          <w:p>
            <w:r>
              <w:rPr>
                <w:rFonts w:ascii="Arial" w:hAnsi="Arial"/>
                <w:color w:val="000000"/>
                <w:sz w:val="18"/>
              </w:rPr>
              <w:t>1(b)</w:t>
            </w:r>
          </w:p>
        </w:tc>
        <w:tc>
          <w:tcPr>
            <w:tcMar>
              <w:top w:w="65" w:type="dxa"/>
              <w:left w:w="80" w:type="dxa"/>
              <w:bottom w:w="65" w:type="dxa"/>
              <w:right w:w="80" w:type="dxa"/>
            </w:tcMar>
          </w:tcPr>
          <w:p>
            <w:pPr>
              <w:spacing w:after="0"/>
            </w:pPr>
            <w:r>
              <w:rPr>
                <w:rFonts w:ascii="Arial" w:hAnsi="Arial" w:cs="Arial"/>
                <w:color w:val="000000"/>
                <w:sz w:val="17"/>
                <w:szCs w:val="17"/>
              </w:rPr>
              <w:t xml:space="preserve">¶ 55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23 August 2023 to 17 May 2024; no fixed office hours alleged to have been stated</w:t>
            </w:r>
          </w:p>
        </w:tc>
        <w:tc>
          <w:tcPr>
            <w:tcMar>
              <w:top w:w="65" w:type="dxa"/>
              <w:left w:w="80" w:type="dxa"/>
              <w:bottom w:w="65" w:type="dxa"/>
              <w:right w:w="80" w:type="dxa"/>
            </w:tcMar>
          </w:tcPr>
          <w:p>
            <w:r>
              <w:rPr>
                <w:rFonts w:ascii="Arial" w:hAnsi="Arial"/>
                <w:color w:val="000000"/>
                <w:sz w:val="18"/>
              </w:rPr>
              <w:t>Approximately 9 months</w:t>
            </w:r>
          </w:p>
        </w:tc>
        <w:tc>
          <w:tcPr>
            <w:tcMar>
              <w:top w:w="65" w:type="dxa"/>
              <w:left w:w="80" w:type="dxa"/>
              <w:bottom w:w="65" w:type="dxa"/>
              <w:right w:w="80" w:type="dxa"/>
            </w:tcMar>
          </w:tcPr>
          <w:p>
            <w:r>
              <w:rPr>
                <w:rFonts w:ascii="Arial" w:hAnsi="Arial"/>
                <w:color w:val="000000"/>
                <w:sz w:val="18"/>
              </w:rPr>
              <w:t>1(d), 1(l)</w:t>
            </w:r>
          </w:p>
        </w:tc>
        <w:tc>
          <w:tcPr>
            <w:tcMar>
              <w:top w:w="65" w:type="dxa"/>
              <w:left w:w="80" w:type="dxa"/>
              <w:bottom w:w="65" w:type="dxa"/>
              <w:right w:w="80" w:type="dxa"/>
            </w:tcMar>
          </w:tcPr>
          <w:p>
            <w:pPr>
              <w:spacing w:after="0"/>
            </w:pPr>
            <w:r>
              <w:rPr>
                <w:rFonts w:ascii="Arial" w:hAnsi="Arial" w:cs="Arial"/>
                <w:color w:val="000000"/>
                <w:sz w:val="17"/>
                <w:szCs w:val="17"/>
              </w:rPr>
              <w:t xml:space="preserve">¶ 73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3 May 2024, to the pay date of the payslip carrying three of the four corrections,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33 days</w:t>
            </w:r>
          </w:p>
        </w:tc>
        <w:tc>
          <w:tcPr>
            <w:tcMar>
              <w:top w:w="65" w:type="dxa"/>
              <w:left w:w="80" w:type="dxa"/>
              <w:bottom w:w="65" w:type="dxa"/>
              <w:right w:w="80" w:type="dxa"/>
            </w:tcMar>
          </w:tcPr>
          <w:p>
            <w:r>
              <w:rPr>
                <w:rFonts w:ascii="Arial" w:hAnsi="Arial"/>
                <w:color w:val="000000"/>
                <w:sz w:val="18"/>
              </w:rPr>
              <w:t>2(n)</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direction to the pay date of the payslip carrying the fourth, 2 July 2025 (amendment dated 30 June 2025)</w:t>
            </w:r>
          </w:p>
        </w:tc>
        <w:tc>
          <w:tcPr>
            <w:tcMar>
              <w:top w:w="65" w:type="dxa"/>
              <w:left w:w="80" w:type="dxa"/>
              <w:bottom w:w="65" w:type="dxa"/>
              <w:right w:w="80" w:type="dxa"/>
            </w:tcMar>
          </w:tcPr>
          <w:p>
            <w:pPr>
              <w:spacing w:after="0"/>
            </w:pPr>
            <w:r>
              <w:rPr>
                <w:rFonts w:ascii="Arial" w:hAnsi="Arial" w:cs="Arial"/>
                <w:color w:val="000000"/>
                <w:sz w:val="17"/>
                <w:szCs w:val="17"/>
              </w:rPr>
              <w:t xml:space="preserve">425 days</w:t>
            </w:r>
          </w:p>
        </w:tc>
        <w:tc>
          <w:tcPr>
            <w:tcMar>
              <w:top w:w="65" w:type="dxa"/>
              <w:left w:w="80" w:type="dxa"/>
              <w:bottom w:w="65" w:type="dxa"/>
              <w:right w:w="80" w:type="dxa"/>
            </w:tcMar>
          </w:tcPr>
          <w:p>
            <w:r>
              <w:rPr>
                <w:rFonts w:ascii="Arial" w:hAnsi="Arial"/>
                <w:color w:val="000000"/>
                <w:sz w:val="18"/>
              </w:rPr>
              <w:t>2(o)</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last shift, 3 June 2024, to the first of those pay dates</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2(n); Part B.1.4</w:t>
            </w:r>
          </w:p>
        </w:tc>
        <w:tc>
          <w:tcPr>
            <w:tcMar>
              <w:top w:w="65" w:type="dxa"/>
              <w:left w:w="80" w:type="dxa"/>
              <w:bottom w:w="65" w:type="dxa"/>
              <w:right w:w="80" w:type="dxa"/>
            </w:tcMar>
          </w:tcPr>
          <w:p>
            <w:pPr>
              <w:spacing w:after="0"/>
            </w:pPr>
            <w:r>
              <w:rPr>
                <w:rFonts w:ascii="Arial" w:hAnsi="Arial" w:cs="Arial"/>
                <w:color w:val="000000"/>
                <w:sz w:val="17"/>
                <w:szCs w:val="17"/>
              </w:rPr>
              <w:t xml:space="preserve">-</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pay enquiry of 8 April 2024 to the reply of 9 April</w:t>
            </w:r>
          </w:p>
        </w:tc>
        <w:tc>
          <w:tcPr>
            <w:tcMar>
              <w:top w:w="65" w:type="dxa"/>
              <w:left w:w="80" w:type="dxa"/>
              <w:bottom w:w="65" w:type="dxa"/>
              <w:right w:w="80" w:type="dxa"/>
            </w:tcMar>
          </w:tcPr>
          <w:p>
            <w:pPr>
              <w:spacing w:after="0"/>
            </w:pPr>
            <w:r>
              <w:rPr>
                <w:rFonts w:ascii="Arial" w:hAnsi="Arial" w:cs="Arial"/>
                <w:color w:val="000000"/>
                <w:sz w:val="17"/>
                <w:szCs w:val="17"/>
              </w:rPr>
              <w:t xml:space="preserve">1 day</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242, 244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reply to the Appellant's follow-up of 24 April 2024</w:t>
            </w:r>
          </w:p>
        </w:tc>
        <w:tc>
          <w:tcPr>
            <w:tcMar>
              <w:top w:w="65" w:type="dxa"/>
              <w:left w:w="80" w:type="dxa"/>
              <w:bottom w:w="65" w:type="dxa"/>
              <w:right w:w="80" w:type="dxa"/>
            </w:tcMar>
          </w:tcPr>
          <w:p>
            <w:pPr>
              <w:spacing w:after="0"/>
            </w:pPr>
            <w:r>
              <w:rPr>
                <w:rFonts w:ascii="Arial" w:hAnsi="Arial" w:cs="Arial"/>
                <w:color w:val="000000"/>
                <w:sz w:val="17"/>
                <w:szCs w:val="17"/>
              </w:rPr>
              <w:t xml:space="preserve">15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244, 246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follow-up to the refusal of 1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246, 247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refusal of 1 May 2024 to Payroll's direction of 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2(g), 2(h)</w:t>
            </w:r>
          </w:p>
        </w:tc>
        <w:tc>
          <w:tcPr>
            <w:tcMar>
              <w:top w:w="65" w:type="dxa"/>
              <w:left w:w="80" w:type="dxa"/>
              <w:bottom w:w="65" w:type="dxa"/>
              <w:right w:w="80" w:type="dxa"/>
            </w:tcMar>
          </w:tcPr>
          <w:p>
            <w:pPr>
              <w:spacing w:after="0"/>
            </w:pPr>
            <w:r>
              <w:rPr>
                <w:rFonts w:ascii="Arial" w:hAnsi="Arial" w:cs="Arial"/>
                <w:color w:val="000000"/>
                <w:sz w:val="17"/>
                <w:szCs w:val="17"/>
              </w:rPr>
              <w:t xml:space="preserve">¶¶ 247, 185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Appellant's email to Payroll, 10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Payroll's email that nothing had been corrected, 13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"still waiting" email, 21 May 2024</w:t>
            </w:r>
          </w:p>
        </w:tc>
        <w:tc>
          <w:tcPr>
            <w:tcMar>
              <w:top w:w="65" w:type="dxa"/>
              <w:left w:w="80" w:type="dxa"/>
              <w:bottom w:w="65" w:type="dxa"/>
              <w:right w:w="80" w:type="dxa"/>
            </w:tcMar>
          </w:tcPr>
          <w:p>
            <w:pPr>
              <w:spacing w:after="0"/>
            </w:pPr>
            <w:r>
              <w:rPr>
                <w:rFonts w:ascii="Arial" w:hAnsi="Arial" w:cs="Arial"/>
                <w:color w:val="000000"/>
                <w:sz w:val="17"/>
                <w:szCs w:val="17"/>
              </w:rPr>
              <w:t xml:space="preserve">18 days</w:t>
            </w:r>
          </w:p>
        </w:tc>
        <w:tc>
          <w:tcPr>
            <w:tcMar>
              <w:top w:w="65" w:type="dxa"/>
              <w:left w:w="80" w:type="dxa"/>
              <w:bottom w:w="65" w:type="dxa"/>
              <w:right w:w="80" w:type="dxa"/>
            </w:tcMar>
          </w:tcPr>
          <w:p>
            <w:r>
              <w:rPr>
                <w:rFonts w:ascii="Arial" w:hAnsi="Arial"/>
                <w:color w:val="000000"/>
                <w:sz w:val="18"/>
              </w:rPr>
              <w:t>2(h), 2(l)</w:t>
            </w:r>
          </w:p>
        </w:tc>
        <w:tc>
          <w:tcPr>
            <w:tcMar>
              <w:top w:w="65" w:type="dxa"/>
              <w:left w:w="80" w:type="dxa"/>
              <w:bottom w:w="65" w:type="dxa"/>
              <w:right w:w="80" w:type="dxa"/>
            </w:tcMar>
          </w:tcPr>
          <w:p>
            <w:pPr>
              <w:spacing w:after="0"/>
            </w:pPr>
            <w:r>
              <w:rPr>
                <w:rFonts w:ascii="Arial" w:hAnsi="Arial" w:cs="Arial"/>
                <w:color w:val="000000"/>
                <w:sz w:val="17"/>
                <w:szCs w:val="17"/>
              </w:rPr>
              <w:t xml:space="preserve">¶¶ 185, 195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AVAC of 28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25 days</w:t>
            </w:r>
          </w:p>
        </w:tc>
        <w:tc>
          <w:tcPr>
            <w:tcMar>
              <w:top w:w="65" w:type="dxa"/>
              <w:left w:w="80" w:type="dxa"/>
              <w:bottom w:w="65" w:type="dxa"/>
              <w:right w:w="80" w:type="dxa"/>
            </w:tcMar>
          </w:tcPr>
          <w:p>
            <w:r>
              <w:rPr>
                <w:rFonts w:ascii="Arial" w:hAnsi="Arial"/>
                <w:color w:val="000000"/>
                <w:sz w:val="18"/>
              </w:rPr>
              <w:t>2(h), 2(m)</w:t>
            </w:r>
          </w:p>
        </w:tc>
        <w:tc>
          <w:tcPr>
            <w:tcMar>
              <w:top w:w="65" w:type="dxa"/>
              <w:left w:w="80" w:type="dxa"/>
              <w:bottom w:w="65" w:type="dxa"/>
              <w:right w:w="80" w:type="dxa"/>
            </w:tcMar>
          </w:tcPr>
          <w:p>
            <w:pPr>
              <w:spacing w:after="0"/>
            </w:pPr>
            <w:r>
              <w:rPr>
                <w:rFonts w:ascii="Arial" w:hAnsi="Arial" w:cs="Arial"/>
                <w:color w:val="000000"/>
                <w:sz w:val="17"/>
                <w:szCs w:val="17"/>
              </w:rPr>
              <w:t xml:space="preserve">¶¶ 185, 197, 209</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AVAC to its processing as "Part Completed", 30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2(m)</w:t>
            </w:r>
          </w:p>
        </w:tc>
        <w:tc>
          <w:tcPr>
            <w:tcMar>
              <w:top w:w="65" w:type="dxa"/>
              <w:left w:w="80" w:type="dxa"/>
              <w:bottom w:w="65" w:type="dxa"/>
              <w:right w:w="80" w:type="dxa"/>
            </w:tcMar>
          </w:tcPr>
          <w:p>
            <w:pPr>
              <w:spacing w:after="0"/>
            </w:pPr>
            <w:r>
              <w:rPr>
                <w:rFonts w:ascii="Arial" w:hAnsi="Arial" w:cs="Arial"/>
                <w:color w:val="000000"/>
                <w:sz w:val="17"/>
                <w:szCs w:val="17"/>
              </w:rPr>
              <w:t xml:space="preserve">¶ 203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shifts of 28 February, 30 March and 1 April 2024 to the payslip that adjusted them, pay date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98 days; 67 days; 65 days</w:t>
            </w:r>
          </w:p>
        </w:tc>
        <w:tc>
          <w:tcPr>
            <w:tcMar>
              <w:top w:w="65" w:type="dxa"/>
              <w:left w:w="80" w:type="dxa"/>
              <w:bottom w:w="65" w:type="dxa"/>
              <w:right w:w="80" w:type="dxa"/>
            </w:tcMar>
          </w:tcPr>
          <w:p>
            <w:r>
              <w:rPr>
                <w:rFonts w:ascii="Arial" w:hAnsi="Arial"/>
                <w:color w:val="000000"/>
                <w:sz w:val="18"/>
              </w:rPr>
              <w:t>2(c), 2(e), 2(f), 2(n)</w:t>
            </w:r>
          </w:p>
        </w:tc>
        <w:tc>
          <w:tcPr>
            <w:tcMar>
              <w:top w:w="65" w:type="dxa"/>
              <w:left w:w="80" w:type="dxa"/>
              <w:bottom w:w="65" w:type="dxa"/>
              <w:right w:w="80" w:type="dxa"/>
            </w:tcMar>
          </w:tcPr>
          <w:p>
            <w:pPr>
              <w:spacing w:after="0"/>
            </w:pPr>
            <w:r>
              <w:rPr>
                <w:rFonts w:ascii="Arial" w:hAnsi="Arial" w:cs="Arial"/>
                <w:color w:val="000000"/>
                <w:sz w:val="17"/>
                <w:szCs w:val="17"/>
              </w:rPr>
              <w:t xml:space="preserve">¶¶ 187 to 189;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 of 9 February 2024 to the payslip carrying its correction, pay date 2 July 2025</w:t>
            </w:r>
          </w:p>
        </w:tc>
        <w:tc>
          <w:tcPr>
            <w:tcMar>
              <w:top w:w="65" w:type="dxa"/>
              <w:left w:w="80" w:type="dxa"/>
              <w:bottom w:w="65" w:type="dxa"/>
              <w:right w:w="80" w:type="dxa"/>
            </w:tcMar>
          </w:tcPr>
          <w:p>
            <w:pPr>
              <w:spacing w:after="0"/>
            </w:pPr>
            <w:r>
              <w:rPr>
                <w:rFonts w:ascii="Arial" w:hAnsi="Arial" w:cs="Arial"/>
                <w:color w:val="000000"/>
                <w:sz w:val="17"/>
                <w:szCs w:val="17"/>
              </w:rPr>
              <w:t xml:space="preserve">509 days</w:t>
            </w:r>
          </w:p>
        </w:tc>
        <w:tc>
          <w:tcPr>
            <w:tcMar>
              <w:top w:w="65" w:type="dxa"/>
              <w:left w:w="80" w:type="dxa"/>
              <w:bottom w:w="65" w:type="dxa"/>
              <w:right w:w="80" w:type="dxa"/>
            </w:tcMar>
          </w:tcPr>
          <w:p>
            <w:r>
              <w:rPr>
                <w:rFonts w:ascii="Arial" w:hAnsi="Arial"/>
                <w:color w:val="000000"/>
                <w:sz w:val="18"/>
              </w:rPr>
              <w:t>2(a), 2(o)</w:t>
            </w:r>
          </w:p>
        </w:tc>
        <w:tc>
          <w:tcPr>
            <w:tcMar>
              <w:top w:w="65" w:type="dxa"/>
              <w:left w:w="80" w:type="dxa"/>
              <w:bottom w:w="65" w:type="dxa"/>
              <w:right w:w="80" w:type="dxa"/>
            </w:tcMar>
          </w:tcPr>
          <w:p>
            <w:pPr>
              <w:spacing w:after="0"/>
            </w:pPr>
            <w:r>
              <w:rPr>
                <w:rFonts w:ascii="Arial" w:hAnsi="Arial" w:cs="Arial"/>
                <w:color w:val="000000"/>
                <w:sz w:val="17"/>
                <w:szCs w:val="17"/>
              </w:rPr>
              <w:t xml:space="preserve">¶¶ 185 to 186;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request for the Manager's office hours, 15 May 2024 at 1:15 pm, to the Director's request to retract it, 6:23 pm the same day</w:t>
            </w:r>
          </w:p>
        </w:tc>
        <w:tc>
          <w:tcPr>
            <w:tcMar>
              <w:top w:w="65" w:type="dxa"/>
              <w:left w:w="80" w:type="dxa"/>
              <w:bottom w:w="65" w:type="dxa"/>
              <w:right w:w="80" w:type="dxa"/>
            </w:tcMar>
          </w:tcPr>
          <w:p>
            <w:pPr>
              <w:spacing w:after="0"/>
            </w:pPr>
            <w:r>
              <w:rPr>
                <w:rFonts w:ascii="Arial" w:hAnsi="Arial" w:cs="Arial"/>
                <w:color w:val="000000"/>
                <w:sz w:val="17"/>
                <w:szCs w:val="17"/>
              </w:rPr>
              <w:t xml:space="preserve">5 hours, 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76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hours being stated to the department, 17 May 2024 at 9:30 am</w:t>
            </w:r>
          </w:p>
        </w:tc>
        <w:tc>
          <w:tcPr>
            <w:tcMar>
              <w:top w:w="65" w:type="dxa"/>
              <w:left w:w="80" w:type="dxa"/>
              <w:bottom w:w="65" w:type="dxa"/>
              <w:right w:w="80" w:type="dxa"/>
            </w:tcMar>
          </w:tcPr>
          <w:p>
            <w:pPr>
              <w:spacing w:after="0"/>
            </w:pPr>
            <w:r>
              <w:rPr>
                <w:rFonts w:ascii="Arial" w:hAnsi="Arial" w:cs="Arial"/>
                <w:color w:val="000000"/>
                <w:sz w:val="17"/>
                <w:szCs w:val="17"/>
              </w:rPr>
              <w:t xml:space="preserve">1 day, 20 hours, 15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81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Director's question about which changes had concerned him, 21 May 2024 at 2:53 pm</w:t>
            </w:r>
          </w:p>
        </w:tc>
        <w:tc>
          <w:tcPr>
            <w:tcMar>
              <w:top w:w="65" w:type="dxa"/>
              <w:left w:w="80" w:type="dxa"/>
              <w:bottom w:w="65" w:type="dxa"/>
              <w:right w:w="80" w:type="dxa"/>
            </w:tcMar>
          </w:tcPr>
          <w:p>
            <w:pPr>
              <w:spacing w:after="0"/>
            </w:pPr>
            <w:r>
              <w:rPr>
                <w:rFonts w:ascii="Arial" w:hAnsi="Arial" w:cs="Arial"/>
                <w:color w:val="000000"/>
                <w:sz w:val="17"/>
                <w:szCs w:val="17"/>
              </w:rPr>
              <w:t xml:space="preserve">6 days, 1 hour, 38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79</w:t>
            </w:r>
          </w:p>
        </w:tc>
      </w:tr>
    </w:tbl>
    <w:p>
      <w:pPr>
        <w:spacing w:after="60"/>
      </w:pPr>
    </w:p>
    <w:p>
      <w:pPr>
        <w:spacing w:before="0" w:after="100" w:line="264" w:lineRule="auto"/>
        <w:ind w:left="284"/>
      </w:pPr>
      <w:r>
        <w:rPr>
          <w:rFonts w:ascii="Arial" w:hAnsi="Arial" w:cs="Arial"/>
          <w:i/>
          <w:sz w:val="18"/>
          <w:szCs w:val="18"/>
        </w:rPr>
        <w:t>Particulars: paragraphs 55, 62 to 64, 73 to 74, 76, 79, 81, 92, 97 to 98, 102 to 103, 124 to 125, 185 to 197, 203, 209, 225, 234, 242 to 247, 249 to 251, 260, 284 to 285 of the notice to admit facts served 28 August 2026, admitted 8 September 2026; the Respondent's payroll disclosure of July 2025 (Schedule, Part 2).</w:t>
      </w:r>
    </w:p>
    <w:p>
      <w:pPr>
        <w:keepNext/>
        <w:spacing w:before="180" w:after="80" w:line="264" w:lineRule="auto"/>
      </w:pPr>
      <w:r>
        <w:rPr>
          <w:rFonts w:ascii="Arial" w:hAnsi="Arial" w:cs="Arial"/>
          <w:b/>
          <w:sz w:val="22"/>
          <w:szCs w:val="22"/>
        </w:rPr>
        <w:t>5. Matters the Respondent does not allege, and documents it does not list</w:t>
      </w:r>
    </w:p>
    <w:p>
      <w:pPr>
        <w:spacing w:before="0" w:after="100" w:line="264" w:lineRule="auto"/>
      </w:pPr>
      <w:r>
        <w:rPr>
          <w:rFonts w:ascii="Arial" w:hAnsi="Arial" w:cs="Arial"/>
          <w:sz w:val="20"/>
          <w:szCs w:val="20"/>
        </w:rPr>
        <w:t>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pageBreakBefore/>
        <w:spacing w:before="240" w:after="100" w:line="264" w:lineRule="auto"/>
      </w:pPr>
      <w:r>
        <w:rPr>
          <w:rFonts w:ascii="Arial" w:hAnsi="Arial" w:cs="Arial"/>
          <w:b/>
          <w:sz w:val="24"/>
          <w:szCs w:val="24"/>
        </w:rPr>
        <w:t>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w:t>
      </w:r>
      <w:r>
        <w:rPr>
          <w:rFonts w:ascii="Arial" w:hAnsi="Arial" w:cs="Arial"/>
          <w:b w:val="0"/>
          <w:sz w:val="20"/>
          <w:szCs w:val="20"/>
        </w:rPr>
        <w:t>The admitted record is the factual basis for that assessment. 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1(k);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It is relied on for the continuing effect of the injury only, not as a cause. No aggravation is claimed.</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The Appellant contends that some of the circumstances in Stressor 1 are conditions in which the work had to be done, not management action. They are: the position stayed responsible for accurate contact and paging information, a function admitted to be critical to patient safety, while operators could not directly amend the database (1(b)); calls, including a MET-call enquiry, were sent to the wrong medical team (1(h)); a clinical service reported that it could not help patients or staff because of a wrong directory entry (1(k)); and operational complaints were, on the employer's own account, handled in the way recorded in its letter of 5 June 2026. The Commission is asked first to decide which circumstances are management action and which are not, and then to apply the exclusion. To the extent those circumstances are not management action and were a significant contributing factor, the injury did not arise out of management action, and section 32(5)(a) does not exclude it (paragraphs 6 and 7 below).</w:t>
      </w:r>
    </w:p>
    <w:p>
      <w:pPr>
        <w:spacing w:before="0" w:after="100" w:line="264" w:lineRule="auto"/>
      </w:pPr>
      <w:r>
        <w:rPr>
          <w:rFonts w:ascii="Arial" w:hAnsi="Arial" w:cs="Arial"/>
          <w:b/>
          <w:sz w:val="20"/>
          <w:szCs w:val="20"/>
        </w:rPr>
        <w:t xml:space="preserve">5. </w:t>
      </w:r>
      <w:r>
        <w:rPr>
          <w:rFonts w:ascii="Arial" w:hAnsi="Arial" w:cs="Arial"/>
          <w:b w:val="0"/>
          <w:sz w:val="20"/>
          <w:szCs w:val="20"/>
        </w:rPr>
        <w:t>Section 32(5)(a) - if management action, whether it was reasonable and taken in a reasonable way. 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2(b) took three submissions and was declined twice, and the Respondent later pleaded that the supporting attachments were in fact present when the later decline was made; the fatigue enquiry was escalated to Human Resources and answered after 23 days, with an acknowledgment on 9 April and no further response alleged before 1 May;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w:t>
      </w:r>
      <w:r>
        <w:rPr>
          <w:rFonts w:ascii="Arial" w:hAnsi="Arial" w:cs="Arial"/>
          <w:b w:val="0"/>
          <w:sz w:val="20"/>
          <w:szCs w:val="20"/>
        </w:rPr>
        <w:t xml:space="preserve">The Respondent's notified evidence is consistent with the admitted record. On 24 September 2026 the Respondent served outlines of the evidence of Ms Taylor, Ms Reese, Ms Wright and Ms Earl. An outline is not evidence; the outlines are relied on only as the Respondent's own description of the matters they concern, and the Appellant will ask each witness to confirm them. On the Respondent's own outlines: the seven-hour break was "the result of human error" and, on the advice returned within payroll, "a rostering practice issue for the line manager"; the agreement of 17 June 2020 reduced the break "from ten hours to eight", so that a seven-hour break fell below both; no fatigue-leave entitlement under clause 18.10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By particular, the outlines give no account of the dated events at Stressor 1(b), 1(f), 1(h) and 1(k), or at Stressor 3(e) to 3(h). On those particulars the facts are admitted, and the questions are whether each was management action, whether any management action was reasonable and taken in a reasonable way, and whether it contributed to the injury. Those matters are relied on to the extent established by the admissions; silence in an outline is not a further admission.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 Neither the list nor the outlines names a medical or expert witness, and no expert report has been served as at 30 September 2026.</w:t>
      </w:r>
    </w:p>
    <w:p>
      <w:pPr>
        <w:spacing w:before="0" w:after="100" w:line="264" w:lineRule="auto"/>
      </w:pPr>
      <w:r>
        <w:rPr>
          <w:rFonts w:ascii="Arial" w:hAnsi="Arial" w:cs="Arial"/>
          <w:b/>
          <w:sz w:val="20"/>
          <w:szCs w:val="20"/>
        </w:rPr>
        <w:t xml:space="preserve">5B. Section 32(5)(b) - the injury did not arise from the Appellant's expectation or perception of management action. </w:t>
      </w:r>
      <w:r>
        <w:rPr>
          <w:rFonts w:ascii="Arial" w:hAnsi="Arial" w:cs="Arial"/>
          <w:sz w:val="20"/>
          <w:szCs w:val="20"/>
        </w:rPr>
        <w:t>The circumstances relied on in Part B.2 are events and documents admitted by the Respondent, and the intervals between them are arithmetic on admitted dates and times. They are not the Appellant's expectation or perception of reasonable management action being taken against him. The Appellant contends that section 32(5)(b) has no application to the injury proved on that record.</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Delaney v Q-COMP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w:t>
      </w:r>
      <w:r>
        <w:rPr>
          <w:rFonts w:ascii="Arial" w:hAnsi="Arial" w:cs="Arial"/>
          <w:b w:val="0"/>
          <w:sz w:val="20"/>
          <w:szCs w:val="20"/>
        </w:rPr>
        <w:t>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 This admission concerns paragraph 27. It does not dispose of the reasonableness contentions pleaded elsewhere in the Respondent’s statement. Those explanations are to be assessed against the dated particulars identified here.</w:t>
      </w:r>
      <w:r>
        <w:rPr>
          <w:rStyle w:val="CommentReference"/>
        </w:rPr>
      </w:r>
    </w:p>
    <w:p>
      <w:pPr>
        <w:spacing w:before="0" w:after="100" w:line="264" w:lineRule="auto"/>
        <w:ind w:left="284"/>
      </w:pPr>
      <w:r>
        <w:rPr>
          <w:rFonts w:ascii="Arial" w:hAnsi="Arial" w:cs="Arial"/>
          <w:i/>
          <w:sz w:val="18"/>
          <w:szCs w:val="18"/>
        </w:rPr>
        <w:t>Particulars: paragraphs 238, 295, 300 to 303 of the notice to admit facts served 28 August 2026, admitted 8 September 2026.</w:t>
      </w:r>
    </w:p>
    <w:p>
      <w:pPr>
        <w:keepNext/>
        <w:spacing w:before="240" w:after="100" w:line="264" w:lineRule="auto"/>
      </w:pPr>
      <w:r>
        <w:rPr>
          <w:rFonts w:ascii="Arial" w:hAnsi="Arial" w:cs="Arial"/>
          <w:b/>
          <w:sz w:val="24"/>
          <w:szCs w:val="24"/>
        </w:rPr>
        <w:t>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pPr>
      <w:r>
        <w:rPr>
          <w:rFonts w:ascii="Arial" w:hAnsi="Arial" w:cs="Arial"/>
          <w:b/>
          <w:sz w:val="20"/>
          <w:szCs w:val="20"/>
        </w:rPr>
        <w:t xml:space="preserve">6. </w:t>
      </w:r>
      <w:r>
        <w:rPr>
          <w:rFonts w:ascii="Arial" w:hAnsi="Arial" w:cs="Arial"/>
          <w:sz w:val="20"/>
          <w:szCs w:val="20"/>
        </w:rPr>
        <w:t>Does section 32(5)(b) of the Act exclude the injury, that is, did it arise out of, or in the course of, the Appellant's expectation or perception of reasonable management action being taken against him, rather than out of the admitted circumstances themselves?</w:t>
      </w:r>
    </w:p>
    <w:p>
      <w:pPr>
        <w:keepNext/>
        <w:spacing w:before="240" w:after="100" w:line="264" w:lineRule="auto"/>
      </w:pPr>
      <w:r>
        <w:rPr>
          <w:rFonts w:ascii="Arial" w:hAnsi="Arial" w:cs="Arial"/>
          <w:b/>
          <w:sz w:val="24"/>
          <w:szCs w:val="24"/>
        </w:rPr>
        <w:t>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spacing w:before="240" w:after="100" w:line="264" w:lineRule="auto"/>
      </w:pPr>
      <w:r>
        <w:rPr>
          <w:rFonts w:ascii="Arial" w:hAnsi="Arial" w:cs="Arial"/>
          <w:b/>
          <w:sz w:val="24"/>
          <w:szCs w:val="24"/>
        </w:rPr>
        <w:t>PART F - COSTS</w:t>
      </w:r>
    </w:p>
    <w:p>
      <w:pPr>
        <w:spacing w:before="0" w:after="100" w:line="264" w:lineRule="auto"/>
      </w:pPr>
      <w:r>
        <w:rPr>
          <w:rFonts w:ascii="Arial" w:hAnsi="Arial" w:cs="Arial"/>
          <w:b/>
          <w:sz w:val="20"/>
          <w:szCs w:val="20"/>
        </w:rPr>
        <w:t xml:space="preserve">1. </w:t>
      </w:r>
      <w:r>
        <w:rPr>
          <w:rFonts w:ascii="Arial" w:hAnsi="Arial" w:cs="Arial"/>
          <w:sz w:val="20"/>
          <w:szCs w:val="20"/>
        </w:rPr>
        <w:t>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B.1.9;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The Appellant will contend that the amounts under section 191(2)(a) are inadequate and will seek, for any period in which he is legally represented, up to 1.5 times those amounts under section 191(3), having regard to the work involved (a record of 303 facts, 298 of them admitted; the documents at Annexure A to the notice to admit; non-party disclosure under rule 64G; two notices to admit facts and a notice to admit documents; and the four outlines served by the Respondent) and to the importance, difficulty and complexity of an appeal about a psychological injury under section 32(5)(a), which requires each pleaded circumstance to be classified, each management action assessed for reasonableness, and the whole weighed.</w:t>
      </w:r>
    </w:p>
    <w:p>
      <w:pPr>
        <w:spacing w:before="0" w:after="100" w:line="264" w:lineRule="auto"/>
      </w:pPr>
      <w:r>
        <w:rPr>
          <w:rFonts w:ascii="Arial" w:hAnsi="Arial" w:cs="Arial"/>
          <w:b/>
          <w:sz w:val="20"/>
          <w:szCs w:val="20"/>
        </w:rPr>
        <w:t xml:space="preserve">4. </w:t>
      </w:r>
      <w:r>
        <w:rPr>
          <w:rFonts w:ascii="Arial" w:hAnsi="Arial" w:cs="Arial"/>
          <w:sz w:val="20"/>
          <w:szCs w:val="20"/>
        </w:rPr>
        <w:t>On the exercise of the discretion under section 558(3), the Appellant will also rely on the course of the proceeding, including that paragraph 27 of the Respondent's amended statement of facts and contentions identifies no management action [¶ 303], that the Respondent names no medical or expert witness and has served no expert report (Part C, paragraph 5A),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The Appellant reserves the right to rely, on the question of costs, on any offer made without prejudice save as to costs.</w:t>
      </w:r>
    </w:p>
    <w:p>
      <w:pPr>
        <w:spacing w:before="0" w:after="100" w:line="264" w:lineRule="auto"/>
      </w:pPr>
      <w:r>
        <w:rPr>
          <w:rFonts w:ascii="Arial" w:hAnsi="Arial" w:cs="Arial"/>
          <w:sz w:val="20"/>
          <w:szCs w:val="20"/>
        </w:rPr>
        <w:t>Dated: 1 October 2026</w:t>
      </w:r>
    </w:p>
    <w:p>
      <w:pPr>
        <w:keepNext/>
        <w:spacing w:before="120" w:after="0"/>
      </w:pPr>
      <w:r>
        <w:drawing>
          <wp:inline distT="0" distB="0" distL="0" distR="0">
            <wp:extent cx="1620000" cy="847616"/>
            <wp:docPr id="9901" name="Signature"/>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Sig1"/>
                    <a:stretch>
                      <a:fillRect/>
                    </a:stretch>
                  </pic:blipFill>
                  <pic:spPr>
                    <a:xfrm>
                      <a:off x="0" y="0"/>
                      <a:ext cx="1620000" cy="847616"/>
                    </a:xfrm>
                    <a:prstGeom prst="rect">
                      <a:avLst/>
                    </a:prstGeom>
                  </pic:spPr>
                </pic:pic>
              </a:graphicData>
            </a:graphic>
          </wp:inline>
        </w:drawing>
      </w:r>
    </w:p>
    <w:p>
      <w:pPr>
        <w:spacing w:before="120" w:after="80" w:line="264" w:lineRule="auto"/>
      </w:pPr>
      <w:r>
        <w:rPr>
          <w:rFonts w:ascii="Arial" w:hAnsi="Arial" w:cs="Arial"/>
          <w:b/>
          <w:sz w:val="20"/>
          <w:szCs w:val="20"/>
        </w:rPr>
        <w:t>Cory Lea Shepherd</w:t>
      </w:r>
      <w:r>
        <w:br/>
      </w:r>
      <w:r>
        <w:rPr>
          <w:rFonts w:ascii="Arial" w:hAnsi="Arial" w:cs="Arial"/>
          <w:sz w:val="20"/>
          <w:szCs w:val="20"/>
        </w:rPr>
        <w:t>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Sig1" Type="http://schemas.openxmlformats.org/officeDocument/2006/relationships/image" Target="media/signatur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