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550(4),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certified by the treating general practitioner. The injury is pleaded as arising from that course of conduct, not from a single event on that day.</w:t>
      </w:r>
    </w:p>
    <w:p>
      <w:pPr>
        <w:spacing w:before="0" w:after="100" w:line="264" w:lineRule="auto"/>
        <w:ind w:left="284"/>
      </w:pPr>
      <w:r>
        <w:rPr>
          <w:rFonts w:ascii="Arial" w:hAnsi="Arial" w:cs="Arial"/>
          <w:i/>
          <w:sz w:val="18"/>
          <w:szCs w:val="18"/>
        </w:rPr>
        <w:t xml:space="preserve">Particulars: paragraphs 1 to 4, 13 to 16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Unless a paragraph says it is context only, each fact set out below was admitted by the Respondent, to the extent recorded in its response of 8 September 2026. The Commission is asked to decide from those admissions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w:t>
      </w:r>
    </w:p>
    <w:p>
      <w:pPr>
        <w:spacing w:before="0" w:after="100" w:line="264" w:lineRule="auto"/>
        <w:ind w:left="284"/>
      </w:pPr>
      <w:r>
        <w:rPr>
          <w:rFonts w:ascii="Arial" w:hAnsi="Arial" w:cs="Arial"/>
          <w:i/>
          <w:sz w:val="18"/>
          <w:szCs w:val="18"/>
        </w:rPr>
        <w:t xml:space="preserve">Duty engaged: paragraphs 5, 7 to 8, 10 of that notice (the role description).</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renews a referral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hd w:val="clear" w:color="auto" w:fill="E9E9E9"/>
        <w:spacing w:before="20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following fortnight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The console took about 270 to 440 calls on an eight-hour shift. Emergency codes were received and paged through it throughout the day (Stressor 3(h) below).</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the reporting clinician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request.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 rostering error,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full 24-hour rotational schedule,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36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replied that he was eligible for up to five days' paid leave on photo evidence of the test, and "requested that you send it to her so she could submit it in MyHR". [¶ 136]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b/>
          <w:sz w:val="20"/>
          <w:szCs w:val="20"/>
        </w:rPr>
        <w:t xml:space="preserve">(m) The authority to decide that application. </w:t>
      </w:r>
      <w:r>
        <w:rPr>
          <w:rFonts w:ascii="Arial" w:hAnsi="Arial" w:cs="Arial"/>
          <w:sz w:val="20"/>
          <w:szCs w:val="20"/>
        </w:rPr>
        <w:t xml:space="preserve">The power to approve paid special pandemic leave was sub-delegated by an Instrument of Human Resource Sub-Delegation signed by the Health Service Chief Executive on 23 November 2022 and effective from 5 December 2022. [¶ 127]</w:t>
      </w:r>
    </w:p>
    <w:p>
      <w:pPr>
        <w:spacing w:before="0" w:after="100" w:line="264" w:lineRule="auto"/>
      </w:pPr>
      <w:r>
        <w:rPr>
          <w:rFonts w:ascii="Arial" w:hAnsi="Arial" w:cs="Arial"/>
          <w:sz w:val="20"/>
          <w:szCs w:val="20"/>
        </w:rPr>
        <w:t xml:space="preserve">That Instrument states: "This Instrument does not permit the further sub-delegation of the powers outlined in (a) above." [¶ 128]</w:t>
      </w:r>
    </w:p>
    <w:p>
      <w:pPr>
        <w:spacing w:before="0" w:after="100" w:line="264" w:lineRule="auto"/>
      </w:pPr>
      <w:r>
        <w:rPr>
          <w:rFonts w:ascii="Arial" w:hAnsi="Arial" w:cs="Arial"/>
          <w:sz w:val="20"/>
          <w:szCs w:val="20"/>
        </w:rPr>
        <w:t xml:space="preserve">In the leave request history the Switchboard Manager is identified as "Reviewer" and the Director as "Manager". [¶ 126]</w:t>
      </w:r>
    </w:p>
    <w:p>
      <w:pPr>
        <w:spacing w:before="0" w:after="100" w:line="264" w:lineRule="auto"/>
      </w:pPr>
      <w:r>
        <w:rPr>
          <w:rFonts w:ascii="Arial" w:hAnsi="Arial" w:cs="Arial"/>
          <w:sz w:val="20"/>
          <w:szCs w:val="20"/>
        </w:rPr>
        <w:t xml:space="preserve">The Respondent does not allege that either was a Band 9 delegate at any relevant time in February or March 2024, and does not identify the person who exercised the power sub-delegated by that Instrument in respect of Process Reference 15480560. [¶¶ 129 to 131]</w:t>
      </w:r>
    </w:p>
    <w:p>
      <w:pPr>
        <w:spacing w:before="0" w:after="100" w:line="264" w:lineRule="auto"/>
      </w:pPr>
      <w:r>
        <w:rPr>
          <w:rFonts w:ascii="Arial" w:hAnsi="Arial" w:cs="Arial"/>
          <w:b/>
          <w:sz w:val="20"/>
          <w:szCs w:val="20"/>
        </w:rPr>
        <w:t xml:space="preserve">(n) Public interest disclosure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spacing w:before="0" w:after="100" w:line="264" w:lineRule="auto"/>
      </w:pPr>
      <w:r>
        <w:rPr>
          <w:rFonts w:ascii="Arial" w:hAnsi="Arial" w:cs="Arial"/>
          <w:b/>
          <w:sz w:val="20"/>
          <w:szCs w:val="20"/>
        </w:rPr>
        <w:t xml:space="preserve">(o) Workplace representation. </w:t>
      </w:r>
      <w:r>
        <w:rPr>
          <w:rFonts w:ascii="Arial" w:hAnsi="Arial" w:cs="Arial"/>
          <w:sz w:val="20"/>
          <w:szCs w:val="20"/>
        </w:rPr>
        <w:t xml:space="preserve">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spacing w:before="0" w:after="100" w:line="264" w:lineRule="auto"/>
      </w:pPr>
      <w:r>
        <w:rPr>
          <w:rFonts w:ascii="Arial" w:hAnsi="Arial" w:cs="Arial"/>
          <w:sz w:val="20"/>
          <w:szCs w:val="20"/>
        </w:rPr>
        <w:t xml:space="preserve">On 3 November 2025 an Organiser of Together Queensland wrote to the Appellant and two colleagues congratulating them, and the Appellant was endorsed as a workplace delegate on or about that date. [¶¶ 178 to 179]</w:t>
      </w:r>
    </w:p>
    <w:p>
      <w:pPr>
        <w:spacing w:before="0" w:after="100" w:line="264" w:lineRule="auto"/>
      </w:pPr>
      <w:r>
        <w:rPr>
          <w:rFonts w:ascii="Arial" w:hAnsi="Arial" w:cs="Arial"/>
          <w:b/>
          <w:sz w:val="20"/>
          <w:szCs w:val="20"/>
        </w:rPr>
        <w:t xml:space="preserve">(p)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(q)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(m), (n) and (o)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(p).</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shd w:val="clear" w:color="auto" w:fill="E9E9E9"/>
        <w:spacing w:before="20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the Manager.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shifts of 17 and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and the Manager.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certified by his general practitioner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and its outlines of evidence (Part B.6) describe the pay issues as "corrected" and "remedied in a timely manner" [¶ 207] without stating these dates.</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repeated on purpose from Stressor 1(l) and (m).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shd w:val="clear" w:color="auto" w:fill="E9E9E9"/>
        <w:spacing w:before="20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 rostering error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Separate estimates of time awake, travel, sleep and workload are not part of the admitted facts and are not pleaded.</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an interval of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28]</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During certified leave, Ms Reese contacted the Appellant and meetings were scheduled. His employment was later ended under abandonment provisions with an effective separation date of 20 September 2024, and he was later reinstated. These matters are notified in his outline of evidence.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 facts and are not relied on as causes of the injury, which had arisen by June 2024. They are kept only as context after the injury, as history of continuing effect and capacity, and as matters notified for oral evidence. Any later WorkCover, income-protection, return-to-work or employment dispute is treated in the same way unless it is separately admitted and relied on for another stated purpose.</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before="0" w:after="100" w:line="264" w:lineRule="auto"/>
        <w:ind w:left="284"/>
      </w:pPr>
      <w:r>
        <w:rPr>
          <w:rFonts w:ascii="Arial" w:hAnsi="Arial" w:cs="Arial"/>
          <w:i/>
          <w:sz w:val="18"/>
          <w:szCs w:val="18"/>
        </w:rPr>
        <w:t xml:space="preserve">Particulars: paragraphs 274 to 282 of the notice to admit facts served 28 August 2026, admitted 8 September 2026.</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00"/>
        <w:gridCol w:w="1900"/>
        <w:gridCol w:w="1700"/>
        <w:gridCol w:w="1338"/>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bl>
    <w:p>
      <w:pPr>
        <w:spacing w:after="60"/>
      </w:pPr>
    </w:p>
    <w:p>
      <w:pPr>
        <w:spacing w:before="0" w:after="100" w:line="264" w:lineRule="auto"/>
        <w:ind w:left="284"/>
      </w:pPr>
      <w:r>
        <w:rPr>
          <w:rFonts w:ascii="Arial" w:hAnsi="Arial" w:cs="Arial"/>
          <w:i/>
          <w:sz w:val="18"/>
          <w:szCs w:val="18"/>
        </w:rPr>
        <w:t xml:space="preserve">Particulars: paragraphs 62 to 64, 92, 97 to 98, 102 to 103, 124 to 125, 249 of the notice to admit facts served 28 August 2026, admitted 8 September 2026.</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every one of the 14 were admitted on 8 September 2026 to the extent set out in Part B;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1(p)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nine reported occasions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no response is alleged for 23 days;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at [86]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an award of up to 1.5 times those amounts under section 191(3), in total or for any item, having regard to: (a) the work involved: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an appeal about a psychological injury under section 32(5)(a), which requires each pleaded circumstance to be classified, a finding on the reasonableness of each that is management action, and the weighing of the whole.</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______________________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