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550(4),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certified by the treating general practitioner. The injury is pleaded as arising from that course of conduct, not from a single event on that day.</w:t>
      </w:r>
    </w:p>
    <w:p>
      <w:pPr>
        <w:spacing w:before="0" w:after="100" w:line="264" w:lineRule="auto"/>
        <w:ind w:left="284"/>
      </w:pPr>
      <w:r>
        <w:rPr>
          <w:rFonts w:ascii="Arial" w:hAnsi="Arial" w:cs="Arial"/>
          <w:i/>
          <w:sz w:val="18"/>
          <w:szCs w:val="18"/>
        </w:rPr>
        <w:t xml:space="preserve">Particulars: paragraphs 1 to 4, 13 to 16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Unless a paragraph says it is context only, each fact set out below was admitted by the Respondent, to the extent recorded in its response of 8 September 2026. The Commission is asked to decide from those admissions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w:t>
      </w:r>
    </w:p>
    <w:p>
      <w:pPr>
        <w:spacing w:before="0" w:after="100" w:line="264" w:lineRule="auto"/>
        <w:ind w:left="284"/>
      </w:pPr>
      <w:r>
        <w:rPr>
          <w:rFonts w:ascii="Arial" w:hAnsi="Arial" w:cs="Arial"/>
          <w:i/>
          <w:sz w:val="18"/>
          <w:szCs w:val="18"/>
        </w:rPr>
        <w:t xml:space="preserve">Duty engaged: paragraphs 5, 7 to 8, 10 of that notice (the role description).</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following fortnight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the reporting clinician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request.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 rostering error,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full 24-hour rotational schedule,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36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replied that he was eligible for up to five days' paid leave on photo evidence of the test, and "requested that you send it to her so she could submit it in MyHR". [¶ 136]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the Manager.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certified by his general practitioner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and the Manager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 rostering error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an interval of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before="0" w:after="100" w:line="264" w:lineRule="auto"/>
        <w:ind w:left="284"/>
      </w:pPr>
      <w:r>
        <w:rPr>
          <w:rFonts w:ascii="Arial" w:hAnsi="Arial" w:cs="Arial"/>
          <w:i/>
          <w:sz w:val="18"/>
          <w:szCs w:val="18"/>
        </w:rPr>
        <w:t xml:space="preserve">Particulars: paragraphs 274 to 282 of the notice to admit facts served 28 August 2026, admitted 8 September 2026.</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and the Manager,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request for office hours, 15 May 2024 at 1:15 pm, to the request to retract it, 6:23 pm</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242 to 247, 249 to 250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nine reported occasions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no response is alleged for 23 days;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at [86]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