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those stated in this paragraph are stated for context and continuing effect only.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On 24 August 2026 he authorised the treating psychiatrist to communicate with the employer on his capacity for work. The psychiatrist wrote to the employer on 13 August 2026 and, on 19 August 2026, asked the basis of the request; as at 5 September 2026 that enquiry had not been answered. These are the Appellant's own evidence and are not relied on as causes of the injury.</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