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jc w:val="both"/>
      </w:pPr>
      <w:r>
        <w:rPr>
          <w:rFonts w:ascii="Times New Roman" w:hAnsi="Times New Roman" w:cs="Times New Roman"/>
          <w:sz w:val="22"/>
          <w:szCs w:val="22"/>
        </w:rPr>
        <w:t>1 October 2026</w:t>
      </w:r>
    </w:p>
    <w:p>
      <w:pPr>
        <w:spacing w:before="0" w:after="0" w:line="264" w:lineRule="auto"/>
        <w:jc w:val="both"/>
      </w:pPr>
      <w:r>
        <w:rPr>
          <w:rFonts w:ascii="Times New Roman" w:hAnsi="Times New Roman" w:cs="Times New Roman"/>
          <w:sz w:val="22"/>
          <w:szCs w:val="22"/>
        </w:rPr>
        <w:t>The Industrial Registrar</w:t>
      </w:r>
    </w:p>
    <w:p>
      <w:pPr>
        <w:spacing w:before="0" w:after="0" w:line="264" w:lineRule="auto"/>
        <w:jc w:val="both"/>
      </w:pPr>
      <w:r>
        <w:rPr>
          <w:rFonts w:ascii="Times New Roman" w:hAnsi="Times New Roman" w:cs="Times New Roman"/>
          <w:sz w:val="22"/>
          <w:szCs w:val="22"/>
        </w:rPr>
        <w:t>Queensland Industrial Relations Commission</w:t>
      </w:r>
    </w:p>
    <w:p>
      <w:pPr>
        <w:spacing w:before="0" w:after="0" w:line="264" w:lineRule="auto"/>
        <w:jc w:val="both"/>
      </w:pPr>
      <w:r>
        <w:rPr>
          <w:rFonts w:ascii="Times New Roman" w:hAnsi="Times New Roman" w:cs="Times New Roman"/>
          <w:sz w:val="22"/>
          <w:szCs w:val="22"/>
        </w:rPr>
        <w:t>qirc.registry@qirc.qld.gov.au</w:t>
      </w:r>
    </w:p>
    <w:p>
      <w:pPr>
        <w:spacing w:before="0" w:after="0" w:line="264" w:lineRule="auto"/>
        <w:jc w:val="both"/>
      </w:pPr>
      <w:r>
        <w:rPr>
          <w:rFonts w:ascii="Times New Roman" w:hAnsi="Times New Roman" w:cs="Times New Roman"/>
          <w:sz w:val="22"/>
          <w:szCs w:val="22"/>
        </w:rPr>
        <w:t>Attention: Chambers of Commissioner Dwyer</w:t>
      </w:r>
    </w:p>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Copy: Ms Renee Matheson, Senior Appeals Officer, Workers' Compensation Regulator (Renee.Matheson@oir.qld.gov.au)</w:t>
      </w:r>
    </w:p>
    <w:p>
      <w:pPr>
        <w:spacing w:before="0" w:after="80" w:line="264" w:lineRule="auto"/>
        <w:jc w:val="both"/>
      </w:pPr>
      <w:r>
        <w:rPr>
          <w:rFonts w:ascii="Times New Roman" w:hAnsi="Times New Roman" w:cs="Times New Roman"/>
          <w:b/>
          <w:sz w:val="22"/>
          <w:szCs w:val="22"/>
        </w:rPr>
        <w:t>WC/2024/227 - Cory Lea Shepherd v Workers' Compensation Regulator</w:t>
      </w:r>
    </w:p>
    <w:p>
      <w:pPr>
        <w:spacing w:before="0" w:after="120" w:line="264" w:lineRule="auto"/>
        <w:jc w:val="both"/>
      </w:pPr>
      <w:r>
        <w:rPr>
          <w:rFonts w:ascii="Times New Roman" w:hAnsi="Times New Roman" w:cs="Times New Roman"/>
          <w:b/>
          <w:sz w:val="22"/>
          <w:szCs w:val="22"/>
        </w:rPr>
        <w:t xml:space="preserve">Direction 5 election; application for leave to file a proposed Second Amended Statement of Facts and Contentions (Form 9A); status of the documents</w:t>
      </w:r>
    </w:p>
    <w:p>
      <w:pPr>
        <w:spacing w:before="0" w:after="80" w:line="264" w:lineRule="auto"/>
        <w:jc w:val="both"/>
      </w:pPr>
      <w:r>
        <w:rPr>
          <w:rFonts w:ascii="Times New Roman" w:hAnsi="Times New Roman" w:cs="Times New Roman"/>
          <w:b/>
          <w:sz w:val="22"/>
          <w:szCs w:val="22"/>
        </w:rPr>
        <w:t xml:space="preserve">Direction 5. </w:t>
      </w:r>
      <w:r>
        <w:rPr>
          <w:rFonts w:ascii="Times New Roman" w:hAnsi="Times New Roman" w:cs="Times New Roman"/>
          <w:sz w:val="22"/>
          <w:szCs w:val="22"/>
        </w:rPr>
        <w:t xml:space="preserve">Under direction 5 of the Further Directions Order (3) of 19 August 2026, the Appellant elects a further conference under section 552A of the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jc w:val="both"/>
      </w:pPr>
      <w:r>
        <w:rPr>
          <w:rFonts w:ascii="Times New Roman" w:hAnsi="Times New Roman" w:cs="Times New Roman"/>
          <w:b/>
          <w:sz w:val="22"/>
          <w:szCs w:val="22"/>
        </w:rPr>
        <w:t xml:space="preserve">The application. </w:t>
      </w:r>
      <w:r>
        <w:rPr>
          <w:rFonts w:ascii="Times New Roman" w:hAnsi="Times New Roman" w:cs="Times New Roman"/>
          <w:b w:val="0"/>
          <w:sz w:val="22"/>
          <w:szCs w:val="22"/>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w:t>
      </w:r>
      <w:r>
        <w:rPr>
          <w:rFonts w:ascii="Times New Roman" w:hAnsi="Times New Roman" w:cs="Times New Roman"/>
          <w:b/>
          <w:sz w:val="22"/>
          <w:szCs w:val="22"/>
        </w:rPr>
        <w:t xml:space="preserve">298 of the 303 facts</w:t>
      </w:r>
      <w:r>
        <w:rPr>
          <w:rFonts w:ascii="Times New Roman" w:hAnsi="Times New Roman" w:cs="Times New Roman"/>
          <w:b w:val="0"/>
          <w:sz w:val="22"/>
          <w:szCs w:val="22"/>
        </w:rPr>
        <w:t xml:space="preserve"> in the Appellant's notice of 28 August 2026, and has admitted or since confirmed </w:t>
      </w:r>
      <w:r>
        <w:rPr>
          <w:rFonts w:ascii="Times New Roman" w:hAnsi="Times New Roman" w:cs="Times New Roman"/>
          <w:b/>
          <w:sz w:val="22"/>
          <w:szCs w:val="22"/>
        </w:rPr>
        <w:t xml:space="preserve">29 of the 39 documents</w:t>
      </w:r>
      <w:r>
        <w:rPr>
          <w:rFonts w:ascii="Times New Roman" w:hAnsi="Times New Roman" w:cs="Times New Roman"/>
          <w:b w:val="0"/>
          <w:sz w:val="22"/>
          <w:szCs w:val="22"/>
        </w:rPr>
        <w:t xml:space="preserve"> behind them. The amendment is sought because </w:t>
      </w:r>
      <w:r>
        <w:rPr>
          <w:rFonts w:ascii="Times New Roman" w:hAnsi="Times New Roman" w:cs="Times New Roman"/>
          <w:b/>
          <w:sz w:val="22"/>
          <w:szCs w:val="22"/>
        </w:rPr>
        <w:t xml:space="preserve">the facts have since been largely settled by those admissions</w:t>
      </w:r>
      <w:r>
        <w:rPr>
          <w:rFonts w:ascii="Times New Roman" w:hAnsi="Times New Roman" w:cs="Times New Roman"/>
          <w:b w:val="0"/>
          <w:sz w:val="22"/>
          <w:szCs w:val="22"/>
        </w:rPr>
        <w:t xml:space="preserve">.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w:t>
      </w:r>
      <w:r>
        <w:rPr>
          <w:rFonts w:ascii="Times New Roman" w:hAnsi="Times New Roman" w:cs="Times New Roman"/>
          <w:b/>
          <w:sz w:val="22"/>
          <w:szCs w:val="22"/>
        </w:rPr>
        <w:t xml:space="preserve">the onus of proof is on the Appellant</w:t>
      </w:r>
      <w:r>
        <w:rPr>
          <w:rFonts w:ascii="Times New Roman" w:hAnsi="Times New Roman" w:cs="Times New Roman"/>
          <w:b w:val="0"/>
          <w:sz w:val="22"/>
          <w:szCs w:val="22"/>
        </w:rPr>
        <w:t xml:space="preserve">, withdraws the descriptions of conduct used in the earlier pleading, and </w:t>
      </w:r>
      <w:r>
        <w:rPr>
          <w:rFonts w:ascii="Times New Roman" w:hAnsi="Times New Roman" w:cs="Times New Roman"/>
          <w:b/>
          <w:sz w:val="22"/>
          <w:szCs w:val="22"/>
        </w:rPr>
        <w:t xml:space="preserve">adds no new stressor or allegation</w:t>
      </w:r>
      <w:r>
        <w:rPr>
          <w:rFonts w:ascii="Times New Roman" w:hAnsi="Times New Roman" w:cs="Times New Roman"/>
          <w:b w:val="0"/>
          <w:sz w:val="22"/>
          <w:szCs w:val="22"/>
        </w:rPr>
        <w:t xml:space="preserve">. </w:t>
      </w:r>
      <w:r>
        <w:rPr>
          <w:rFonts w:ascii="Times New Roman" w:hAnsi="Times New Roman" w:cs="Times New Roman"/>
          <w:b/>
          <w:sz w:val="22"/>
          <w:szCs w:val="22"/>
        </w:rPr>
        <w:t xml:space="preserve">No hearing date has been set</w:t>
      </w:r>
      <w:r>
        <w:rPr>
          <w:rFonts w:ascii="Times New Roman" w:hAnsi="Times New Roman" w:cs="Times New Roman"/>
          <w:b w:val="0"/>
          <w:sz w:val="22"/>
          <w:szCs w:val="22"/>
        </w:rPr>
        <w:t xml:space="preserve">. The Appellant does not oppose the Respondent having time to amend its own statement of facts and contentions if leave is granted. The Appellant's list of witnesses filed, and outlines of evidence served, on 9 September 2026 are not amended and stand as filed and served.</w:t>
      </w:r>
    </w:p>
    <w:p>
      <w:pPr>
        <w:spacing w:before="0" w:after="80" w:line="264" w:lineRule="auto"/>
        <w:jc w:val="both"/>
      </w:pPr>
      <w:r>
        <w:rPr>
          <w:rFonts w:ascii="Times New Roman" w:hAnsi="Times New Roman" w:cs="Times New Roman"/>
          <w:b/>
          <w:sz w:val="22"/>
          <w:szCs w:val="22"/>
        </w:rPr>
        <w:t xml:space="preserve">How the proposed Form 9A is arranged. </w:t>
      </w:r>
      <w:r>
        <w:rPr>
          <w:rFonts w:ascii="Times New Roman" w:hAnsi="Times New Roman" w:cs="Times New Roman"/>
          <w:sz w:val="22"/>
          <w:szCs w:val="22"/>
        </w:rPr>
        <w:t xml:space="preserve">The matter is largely documentary: the directions, rosters, pay claims, requests and replies relied on were made in writing, by email, roster, myHR and payroll record. The proposed Form 9A therefore sets out each such document with its date and terms, which accounts for its length. 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jc w:val="both"/>
      </w:pPr>
      <w:r>
        <w:rPr>
          <w:rFonts w:ascii="Times New Roman" w:hAnsi="Times New Roman" w:cs="Times New Roman"/>
          <w:b/>
          <w:sz w:val="22"/>
          <w:szCs w:val="22"/>
        </w:rPr>
        <w:t xml:space="preserve">What is relied on, and what is admitted. </w:t>
      </w:r>
      <w:r>
        <w:rPr>
          <w:rFonts w:ascii="Times New Roman" w:hAnsi="Times New Roman" w:cs="Times New Roman"/>
          <w:sz w:val="22"/>
          <w:szCs w:val="22"/>
        </w:rPr>
        <w:t xml:space="preserve">The proposed Form 9A relies on the facts admitted by the Respondent on 8 September 2026, each marked with its paragraph number in square brackets; the documents at Annexure A, 29 of which are admitted or since confirmed (Schedule, Part 1); the other documents in Part 2 of the schedule; the treating practitioners' records, with their oral evidence; and the Appellant's own evidence, which carries no bracket. The dated events pleaded as causes are therefore admitted, to the extent recorded in the Respondent's response, except where the proposed Form 9A marks otherwise: the register at Tab 31 (facts 228 to 231, not admitted), Payroll's later account at 2(e), and the Appellant's own evidence. What remains is for the hearing member to decide on that record: whether each event was management action, whether any management action was reasonable and taken in a reasonable way, and whether employment was a significant contributing factor to the injury, on the evidence of the treating practitioners.</w:t>
      </w:r>
    </w:p>
    <w:p>
      <w:pPr>
        <w:spacing w:before="0" w:after="80" w:line="264" w:lineRule="auto"/>
        <w:jc w:val="both"/>
      </w:pPr>
      <w:r>
        <w:rPr>
          <w:rFonts w:ascii="Times New Roman" w:hAnsi="Times New Roman" w:cs="Times New Roman"/>
          <w:b/>
          <w:sz w:val="22"/>
          <w:szCs w:val="22"/>
        </w:rPr>
        <w:t xml:space="preserve">The Respondent's notified case as at 30 September 2026. </w:t>
      </w:r>
      <w:r>
        <w:rPr>
          <w:rFonts w:ascii="Times New Roman" w:hAnsi="Times New Roman" w:cs="Times New Roman"/>
          <w:sz w:val="22"/>
          <w:szCs w:val="22"/>
        </w:rPr>
        <w:t xml:space="preserve">(1) Its review decision of 24 October 2024 found that the Appellant sustained a personal injury of a psychological nature, arising out of employment to the extent it arose out of factors 2, 3 and 4, where </w:t>
      </w:r>
      <w:r>
        <w:rPr>
          <w:rFonts w:ascii="Times New Roman" w:hAnsi="Times New Roman" w:cs="Times New Roman"/>
          <w:b/>
          <w:sz w:val="22"/>
          <w:szCs w:val="22"/>
        </w:rPr>
        <w:t xml:space="preserve">employment was a significant contributing factor</w:t>
      </w:r>
      <w:r>
        <w:rPr>
          <w:rFonts w:ascii="Times New Roman" w:hAnsi="Times New Roman" w:cs="Times New Roman"/>
          <w:sz w:val="22"/>
          <w:szCs w:val="22"/>
        </w:rPr>
        <w:t xml:space="preserve"> (facts 261 and 262); the claim was rejected under section 32(5). (2) Paragraph 27 of its amended statement of facts and contentions, which contends that any management action was reasonable management action taken in a reasonable way, </w:t>
      </w:r>
      <w:r>
        <w:rPr>
          <w:rFonts w:ascii="Times New Roman" w:hAnsi="Times New Roman" w:cs="Times New Roman"/>
          <w:b/>
          <w:sz w:val="22"/>
          <w:szCs w:val="22"/>
        </w:rPr>
        <w:t xml:space="preserve">does not identify the management action relied upon</w:t>
      </w:r>
      <w:r>
        <w:rPr>
          <w:rFonts w:ascii="Times New Roman" w:hAnsi="Times New Roman" w:cs="Times New Roman"/>
          <w:sz w:val="22"/>
          <w:szCs w:val="22"/>
        </w:rPr>
        <w:t xml:space="preserve">; that was admitted on 8 September 2026 (fact 303). That admission concerns paragraph 27; it does not dispose of the more specific explanations pleaded elsewhere in the Respondent's statement. (3) It has </w:t>
      </w:r>
      <w:r>
        <w:rPr>
          <w:rFonts w:ascii="Times New Roman" w:hAnsi="Times New Roman" w:cs="Times New Roman"/>
          <w:b/>
          <w:sz w:val="22"/>
          <w:szCs w:val="22"/>
        </w:rPr>
        <w:t xml:space="preserve">named no medical or expert witness and served no expert report</w:t>
      </w:r>
      <w:r>
        <w:rPr>
          <w:rFonts w:ascii="Times New Roman" w:hAnsi="Times New Roman" w:cs="Times New Roman"/>
          <w:sz w:val="22"/>
          <w:szCs w:val="22"/>
        </w:rPr>
        <w:t xml:space="preserve">: its list of 24 September 2026 names four witnesses, Ms Taylor, Ms Reese, Ms Wright and Ms Earl, described as "lay" witnesses, and it served outlines of their evidence. (4) Its outlines of evidence state that the seven-hour break of 17 to 18 March 2024 was </w:t>
      </w:r>
      <w:r>
        <w:rPr>
          <w:rFonts w:ascii="Times New Roman" w:hAnsi="Times New Roman" w:cs="Times New Roman"/>
          <w:b/>
          <w:sz w:val="22"/>
          <w:szCs w:val="22"/>
        </w:rPr>
        <w:t xml:space="preserve">"the result of human error"</w:t>
      </w:r>
      <w:r>
        <w:rPr>
          <w:rFonts w:ascii="Times New Roman" w:hAnsi="Times New Roman" w:cs="Times New Roman"/>
          <w:sz w:val="22"/>
          <w:szCs w:val="22"/>
        </w:rPr>
        <w:t xml:space="preserve"> and, on the advice returned within payroll, "a rostering practice issue for the line manager"; and that the second decline of the paid Special Pandemic Leave request </w:t>
      </w:r>
      <w:r>
        <w:rPr>
          <w:rFonts w:ascii="Times New Roman" w:hAnsi="Times New Roman" w:cs="Times New Roman"/>
          <w:b/>
          <w:sz w:val="22"/>
          <w:szCs w:val="22"/>
        </w:rPr>
        <w:t xml:space="preserve">"appears to have been made in error"</w:t>
      </w:r>
      <w:r>
        <w:rPr>
          <w:rFonts w:ascii="Times New Roman" w:hAnsi="Times New Roman" w:cs="Times New Roman"/>
          <w:sz w:val="22"/>
          <w:szCs w:val="22"/>
        </w:rPr>
        <w:t xml:space="preserve">. </w:t>
      </w:r>
      <w:r>
        <w:rPr>
          <w:rFonts w:ascii="Times New Roman" w:hAnsi="Times New Roman" w:cs="Times New Roman"/>
          <w:b/>
          <w:sz w:val="22"/>
          <w:szCs w:val="22"/>
        </w:rPr>
        <w:t xml:space="preserve">Its outlines give no account of the dated events at Stressor 1(b), 1(f), 1(h) and 1(k)</w:t>
      </w:r>
      <w:r>
        <w:rPr>
          <w:rFonts w:ascii="Times New Roman" w:hAnsi="Times New Roman" w:cs="Times New Roman"/>
          <w:sz w:val="22"/>
          <w:szCs w:val="22"/>
        </w:rPr>
        <w:t xml:space="preserve">: the removal of database access, the 15 April 2024 process change, the misdirected calls, and the directory error reported by the Integrated Respiratory Service.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jc w:val="both"/>
      </w:pPr>
      <w:r>
        <w:rPr>
          <w:rFonts w:ascii="Times New Roman" w:hAnsi="Times New Roman" w:cs="Times New Roman"/>
          <w:b/>
          <w:sz w:val="22"/>
          <w:szCs w:val="22"/>
        </w:rPr>
        <w:t xml:space="preserve">The record, available on request. </w:t>
      </w:r>
      <w:r>
        <w:rPr>
          <w:rFonts w:ascii="Times New Roman" w:hAnsi="Times New Roman" w:cs="Times New Roman"/>
          <w:sz w:val="22"/>
          <w:szCs w:val="22"/>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jc w:val="both"/>
      </w:pPr>
      <w:r>
        <w:rPr>
          <w:rFonts w:ascii="Times New Roman" w:hAnsi="Times New Roman" w:cs="Times New Roman"/>
          <w:b/>
          <w:sz w:val="22"/>
          <w:szCs w:val="22"/>
        </w:rPr>
        <w:t xml:space="preserve">The documents. </w:t>
      </w:r>
      <w:r>
        <w:rPr>
          <w:rFonts w:ascii="Times New Roman" w:hAnsi="Times New Roman" w:cs="Times New Roman"/>
          <w:sz w:val="22"/>
          <w:szCs w:val="22"/>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jc w:val="both"/>
      </w:pPr>
      <w:r>
        <w:rPr>
          <w:rFonts w:ascii="Times New Roman" w:hAnsi="Times New Roman" w:cs="Times New Roman"/>
          <w:b/>
          <w:sz w:val="22"/>
          <w:szCs w:val="22"/>
        </w:rPr>
        <w:t xml:space="preserve">Filing position. </w:t>
      </w:r>
      <w:r>
        <w:rPr>
          <w:rFonts w:ascii="Times New Roman" w:hAnsi="Times New Roman" w:cs="Times New Roman"/>
          <w:sz w:val="22"/>
          <w:szCs w:val="22"/>
        </w:rPr>
        <w:t xml:space="preserve">The Appellant asks that the election and this letter be filed and placed before Commissioner Dwyer. The proposed Second Amended Form 9A is enclosed only for the Commission's consideration of the application for leave and is </w:t>
      </w:r>
      <w:r>
        <w:rPr>
          <w:rFonts w:ascii="Times New Roman" w:hAnsi="Times New Roman" w:cs="Times New Roman"/>
          <w:b/>
          <w:sz w:val="22"/>
          <w:szCs w:val="22"/>
        </w:rPr>
        <w:t xml:space="preserve">not presently submitted for filing</w:t>
      </w:r>
      <w:r>
        <w:rPr>
          <w:rFonts w:ascii="Times New Roman" w:hAnsi="Times New Roman" w:cs="Times New Roman"/>
          <w:sz w:val="22"/>
          <w:szCs w:val="22"/>
        </w:rPr>
        <w:t xml:space="preserve">. If leave is granted, the Appellant will supply a hard copy of the Form 9A to the Registry and will file and serve it in the form directed by the Commission or Registry.</w:t>
      </w:r>
    </w:p>
    <w:p>
      <w:pPr>
        <w:keepNext/>
        <w:spacing w:before="0" w:after="80" w:line="264" w:lineRule="auto"/>
        <w:jc w:val="both"/>
      </w:pPr>
      <w:r>
        <w:rPr>
          <w:rFonts w:ascii="Times New Roman" w:hAnsi="Times New Roman" w:cs="Times New Roman"/>
          <w:sz w:val="22"/>
          <w:szCs w:val="22"/>
        </w:rPr>
        <w:t xml:space="preserve">This letter accompanies the Appellant's election and requested directions. Enclosure for consideration: proposed Second Amended Statement of Facts and Contentions (Form 9A).</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jc w:val="both"/>
      </w:pPr>
      <w:r>
        <w:rPr>
          <w:rFonts w:ascii="Times New Roman" w:hAnsi="Times New Roman" w:cs="Times New Roman"/>
          <w:b/>
          <w:sz w:val="22"/>
          <w:szCs w:val="22"/>
        </w:rPr>
        <w:t>Cory Lea Shepherd, Appellant (self-represented)</w:t>
      </w:r>
    </w:p>
    <w:p>
      <w:pPr>
        <w:spacing w:before="0" w:after="120" w:line="264" w:lineRule="auto"/>
        <w:jc w:val="both"/>
      </w:pPr>
      <w:r>
        <w:rPr>
          <w:rFonts w:ascii="Times New Roman" w:hAnsi="Times New Roman" w:cs="Times New Roman"/>
          <w:sz w:val="22"/>
          <w:szCs w:val="22"/>
        </w:rPr>
      </w:r>
    </w:p>
    <w:p>
      <w:pPr>
        <w:keepNext/>
        <w:pageBreakBefore/>
        <w:spacing w:before="0" w:after="120" w:line="264" w:lineRule="auto"/>
        <w:jc w:val="both"/>
      </w:pPr>
      <w:r>
        <w:rPr>
          <w:rFonts w:ascii="Times New Roman" w:hAnsi="Times New Roman" w:cs="Times New Roman"/>
          <w:b/>
          <w:sz w:val="22"/>
          <w:szCs w:val="22"/>
        </w:rPr>
        <w:t>Schedule, Part 1: the 39 documents at Annexure A (notices to admit served 28 August 2026) and their status</w:t>
      </w:r>
    </w:p>
    <w:p>
      <w:pPr>
        <w:spacing w:before="0" w:after="100" w:line="264" w:lineRule="auto"/>
        <w:jc w:val="both"/>
      </w:pPr>
      <w:r>
        <w:rPr>
          <w:rFonts w:ascii="Times New Roman" w:hAnsi="Times New Roman" w:cs="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20"/>
        <w:gridCol w:w="3000"/>
        <w:gridCol w:w="1450"/>
        <w:gridCol w:w="1150"/>
        <w:gridCol w:w="1560"/>
        <w:gridCol w:w="185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Tab</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Date</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8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24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Position now</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to the Switchboard team, "Hello &amp; Update"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Jul 2023, 12:56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to Reese, "Fwd: Communication Book Update", with her email to Logan Switch of 9:57 am that day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 Jun 2023, 4:05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"Increase of hours and Workplace issues" chain and Reese's replies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7-10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attaching HR Policy E12; emails of 4 and 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 Aug-8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"Request to Increase Working Hours to Full Time Rotational Roster"; emails of 7 Aug 2023 1:43 pm and 5:11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and 31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"Roster Concerns" chain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 Apr-8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to Pritchard "FW: Roster Concerns"; Reese to LBH_HR attaching qh-gdl-401-3.3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Cover page, Fatigue risk management systems implementation guideline QH-GDL-401-3.3:2021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MASPER emails (Taylor to Kwok and Wong; "MASPER process") and issue logs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May 2024 (logs 2-8 May)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"Switchboard After Hours On Call Manager PP24"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 May 2024, 4:29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"Switchboard Manager - On call and Hours."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May 2024, 9:30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"Office Hours and Departmental Directives" chain (1:15 pm, 6:23 pm, 7:09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"RE: Office Hours and Departmental Directives"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2:53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"Sick leave 14.05.24", and its forwarding to Reese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14-15 May 2024 (first email 14 May, 12:08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Marriott (Integrated Respiratory Service) to Logan Switch; the Appellant to Taylor; Taylor's reply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"Corey Shepherd 388372 Pay issues" thread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3-13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Same thread, Taylor to the Appellant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12:33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"Validation of Claims older than 3 months - Please sign"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 May 2024, 8:36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submissions report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 Feb-31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QH Leave Takings Report (MSH Item 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Review Decision 69983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 Oct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Appellant's first notice to admit facts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before 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Respondent's response to that notice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leave request history, Process Reference 15480560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 Feb-1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Instrument of Human Resource Sub-Delegation, Paid Special Pandemic Leave (MSH Item 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eff. 5 Dec 2022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"Afterhours Oncall Process - Switchboard" (Stressor 1(f))</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Apr 2024, 12:39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Metro South to Commissioner Dwyer, K-LM26/729, signed by the Chief Executive (supporting records under Stressors 1 and 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"What's Chloe's Hours?!" (Stressor 1(d))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 Aug 2023, 2:18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"Good morning Team." (Stressor 1, supporting records)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Jun 2024, 8:58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Role description, Administration Officer, Switchboard Services (AO3), Logan Hospital</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undated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(facts 1-13)</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"Approved - Permanent Full Time FTE"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Sep 2023, 1:52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(37-38)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as delegate,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Apr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Forrest, Senior Consultant Human Resources, to the Appellant, stating that the 8-hour agreement "is only applied where staff initiated shift swaps have occurred"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Jul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(224-225)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Paper, Proposed Rosters for Switchboard Services, signed by Mr Hughes 12 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(169-175)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outcome, Proposed Rosters, signed by Mr Hughes 12 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(167-168, 176-177)</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Screen capture, "2024 Emergency Code Register.xlsx", March 2024 sheet, entries 16-20 Mar 2024 (Stressors 3(b) and 3(c))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facts 228-231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Moran, Organiser, Together Queensland, to Jeffrey, Conaghan and the Appellant, "Switchboard Roster Feedback - For Delegates"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 Nov 2025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mentioned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(178-179)</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jc w:val="both"/>
      </w:pPr>
      <w:r>
        <w:rPr>
          <w:rFonts w:ascii="Times New Roman" w:hAnsi="Times New Roman" w:cs="Times New Roman"/>
          <w:b/>
          <w:sz w:val="22"/>
          <w:szCs w:val="22"/>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Relied on at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Status or source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outlines of the evidence of Ms Taylor, Ms Reese, Ms Wright and Ms Earl</w:t>
            </w:r>
          </w:p>
        </w:tc>
        <w:tc>
          <w:tcPr>
            <w:tcMar>
              <w:top w:w="65" w:type="dxa"/>
              <w:left w:w="80" w:type="dxa"/>
              <w:bottom w:w="65" w:type="dxa"/>
              <w:right w:w="80" w:type="dxa"/>
            </w:tcMar>
          </w:tcPr>
          <w:p>
            <w:pPr>
              <w:jc w:val="left"/>
            </w:pPr>
            <w:r>
              <w:rPr>
                <w:rFonts w:ascii="Times New Roman" w:hAnsi="Times New Roman"/>
                <w:color w:val="000000"/>
                <w:sz w:val="22"/>
              </w:rPr>
              <w:t>1(l), 2(n) to 2(o), 3(c); Stressor 3 agreement and pleaded-answer paragraphs; Part C, paragraph 5A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spreadsheet of recorded MET calls for 17 and 18 March 2024</w:t>
            </w:r>
          </w:p>
        </w:tc>
        <w:tc>
          <w:tcPr>
            <w:tcMar>
              <w:top w:w="65" w:type="dxa"/>
              <w:left w:w="80" w:type="dxa"/>
              <w:bottom w:w="65" w:type="dxa"/>
              <w:right w:w="80" w:type="dxa"/>
            </w:tcMar>
          </w:tcPr>
          <w:p>
            <w:pPr>
              <w:jc w:val="left"/>
            </w:pPr>
            <w:r>
              <w:rPr>
                <w:rFonts w:ascii="Times New Roman" w:hAnsi="Times New Roman"/>
                <w:color w:val="000000"/>
                <w:sz w:val="22"/>
              </w:rPr>
              <w:t>Stressor 3(b)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Metro South Health states that it is available [¶ 268].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Logan Hospital emergency code procedures referred to in the role description</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to in the role description [¶ 8] (Tab 1).</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documents recording the advice of Human Resources on the 8-hour agreement</w:t>
            </w:r>
          </w:p>
        </w:tc>
        <w:tc>
          <w:tcPr>
            <w:tcMar>
              <w:top w:w="65" w:type="dxa"/>
              <w:left w:w="80" w:type="dxa"/>
              <w:bottom w:w="65" w:type="dxa"/>
              <w:right w:w="80" w:type="dxa"/>
            </w:tcMar>
          </w:tcPr>
          <w:p>
            <w:pPr>
              <w:jc w:val="left"/>
            </w:pPr>
            <w:r>
              <w:rPr>
                <w:rFonts w:ascii="Times New Roman" w:hAnsi="Times New Roman"/>
                <w:color w:val="000000"/>
                <w:sz w:val="22"/>
              </w:rPr>
              <w:t>Referred to in the outlines (first row)</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Communication Book</w:t>
            </w:r>
          </w:p>
        </w:tc>
        <w:tc>
          <w:tcPr>
            <w:tcMar>
              <w:top w:w="65" w:type="dxa"/>
              <w:left w:w="80" w:type="dxa"/>
              <w:bottom w:w="65" w:type="dxa"/>
              <w:right w:w="80" w:type="dxa"/>
            </w:tcMar>
          </w:tcPr>
          <w:p>
            <w:pPr>
              <w:jc w:val="left"/>
            </w:pPr>
            <w:r>
              <w:rPr>
                <w:rFonts w:ascii="Times New Roman" w:hAnsi="Times New Roman"/>
                <w:color w:val="000000"/>
                <w:sz w:val="22"/>
              </w:rPr>
              <w:t>Stressor 1(a); Part B.5.4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pPr>
              <w:jc w:val="left"/>
            </w:pPr>
            <w:r>
              <w:rPr>
                <w:rFonts w:ascii="Times New Roman" w:hAnsi="Times New Roman"/>
                <w:color w:val="000000"/>
                <w:sz w:val="22"/>
              </w:rPr>
              <w:t>2(n) to 2(o); Part B.4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in July 2025.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pPr>
              <w:jc w:val="left"/>
            </w:pPr>
            <w:r>
              <w:rPr>
                <w:rFonts w:ascii="Times New Roman" w:hAnsi="Times New Roman"/>
                <w:color w:val="000000"/>
                <w:sz w:val="22"/>
              </w:rPr>
              <w:t>Stressors 1(e) and 1(l); for 1(i), the date of the complaint only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on 11 June 2026.</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Health's Code Blue procedure 001443 (Royal Brisbane and Women's Hospital, version 5, April 2020)</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 the types of Code Blue and the role of Switchboard Services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Queensland Ombudsman's Neville Report (June 2006) and its 2011 update, and the Coroner's findings of 12 September 2008</w:t>
            </w:r>
          </w:p>
        </w:tc>
        <w:tc>
          <w:tcPr>
            <w:tcMar>
              <w:top w:w="65" w:type="dxa"/>
              <w:left w:w="80" w:type="dxa"/>
              <w:bottom w:w="65" w:type="dxa"/>
              <w:right w:w="80" w:type="dxa"/>
            </w:tcMar>
          </w:tcPr>
          <w:p>
            <w:pPr>
              <w:jc w:val="left"/>
            </w:pPr>
            <w:r>
              <w:rPr>
                <w:rFonts w:ascii="Times New Roman" w:hAnsi="Times New Roman"/>
                <w:color w:val="000000"/>
                <w:sz w:val="22"/>
              </w:rPr>
              <w:t>Stressor 3, the framework history: the origin of the fatigue framework</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documents.</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monthly call statistics for April 2025</w:t>
            </w:r>
          </w:p>
        </w:tc>
        <w:tc>
          <w:tcPr>
            <w:tcMar>
              <w:top w:w="65" w:type="dxa"/>
              <w:left w:w="80" w:type="dxa"/>
              <w:bottom w:w="65" w:type="dxa"/>
              <w:right w:w="80" w:type="dxa"/>
            </w:tcMar>
          </w:tcPr>
          <w:p>
            <w:pPr>
              <w:jc w:val="left"/>
            </w:pPr>
            <w:r>
              <w:rPr>
                <w:rFonts w:ascii="Times New Roman" w:hAnsi="Times New Roman"/>
                <w:color w:val="000000"/>
                <w:sz w:val="22"/>
              </w:rPr>
              <w:t xml:space="preserve">Stressor 1, the operating conditions; Stressor 3(b), the ordinary-call-load paragraph</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Appellant's own record and evidence (Part B preamble).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 Fatigue Risk Management Systems Implementation Guideline QH-GDL-401-3.3:2021 (the full disclosed guideline)</w:t>
            </w:r>
          </w:p>
        </w:tc>
        <w:tc>
          <w:tcPr>
            <w:tcMar>
              <w:top w:w="65" w:type="dxa"/>
              <w:left w:w="80" w:type="dxa"/>
              <w:bottom w:w="65" w:type="dxa"/>
              <w:right w:w="80" w:type="dxa"/>
            </w:tcMar>
          </w:tcPr>
          <w:p>
            <w:pPr>
              <w:jc w:val="left"/>
            </w:pPr>
            <w:r>
              <w:rPr>
                <w:rFonts w:ascii="Times New Roman" w:hAnsi="Times New Roman"/>
                <w:color w:val="000000"/>
                <w:sz w:val="22"/>
              </w:rPr>
              <w:t xml:space="preserve">Stressor 3(h) and the supporting fatigue records; the quotations from the guideline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in full with the 20 May 2024 email chain on 14 July 2025. Tab 8A at Annexure A is the cover page only.</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b/>
          <w:sz w:val="22"/>
          <w:szCs w:val="22"/>
        </w:rPr>
        <w:t xml:space="preserve">Schedule, Part 3: index of the dated particulars in the proposed Second Amended Form 9A (index only; not additional stressors). </w:t>
      </w:r>
      <w:r>
        <w:rPr>
          <w:rFonts w:ascii="Times New Roman" w:hAnsi="Times New Roman" w:cs="Times New Roman"/>
          <w:sz w:val="22"/>
          <w:szCs w:val="22"/>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tcMar>
              <w:top w:w="65" w:type="dxa"/>
              <w:left w:w="80" w:type="dxa"/>
              <w:bottom w:w="65" w:type="dxa"/>
              <w:right w:w="80" w:type="dxa"/>
            </w:tcMar>
          </w:tcPr>
          <w:p>
            <w:pPr>
              <w:jc w:val="left"/>
            </w:pPr>
            <w:r>
              <w:rPr>
                <w:rFonts w:ascii="Times New Roman" w:hAnsi="Times New Roman"/>
                <w:b/>
                <w:color w:val="000000"/>
                <w:sz w:val="22"/>
              </w:rPr>
              <w:t>No.</w:t>
            </w:r>
          </w:p>
        </w:tc>
        <w:tc>
          <w:tcPr>
            <w:tcW w:type="dxa" w:w="1616"/>
            <w:tcMar>
              <w:top w:w="65" w:type="dxa"/>
              <w:left w:w="80" w:type="dxa"/>
              <w:bottom w:w="65" w:type="dxa"/>
              <w:right w:w="80" w:type="dxa"/>
            </w:tcMar>
          </w:tcPr>
          <w:p>
            <w:pPr>
              <w:jc w:val="left"/>
            </w:pPr>
            <w:r>
              <w:rPr>
                <w:rFonts w:ascii="Times New Roman" w:hAnsi="Times New Roman"/>
                <w:b/>
                <w:color w:val="000000"/>
                <w:sz w:val="22"/>
              </w:rPr>
              <w:t>Date or date range</w:t>
            </w:r>
          </w:p>
        </w:tc>
        <w:tc>
          <w:tcPr>
            <w:tcW w:type="dxa" w:w="2296"/>
            <w:tcMar>
              <w:top w:w="65" w:type="dxa"/>
              <w:left w:w="80" w:type="dxa"/>
              <w:bottom w:w="65" w:type="dxa"/>
              <w:right w:w="80" w:type="dxa"/>
            </w:tcMar>
          </w:tcPr>
          <w:p>
            <w:pPr>
              <w:jc w:val="left"/>
            </w:pPr>
            <w:r>
              <w:rPr>
                <w:rFonts w:ascii="Times New Roman" w:hAnsi="Times New Roman"/>
                <w:b/>
                <w:color w:val="000000"/>
                <w:sz w:val="22"/>
              </w:rPr>
              <w:t>Particular</w:t>
            </w:r>
          </w:p>
        </w:tc>
        <w:tc>
          <w:tcPr>
            <w:tcW w:type="dxa" w:w="5017"/>
            <w:tcMar>
              <w:top w:w="65" w:type="dxa"/>
              <w:left w:w="80" w:type="dxa"/>
              <w:bottom w:w="65" w:type="dxa"/>
              <w:right w:w="80" w:type="dxa"/>
            </w:tcMar>
          </w:tcPr>
          <w:p>
            <w:pPr>
              <w:jc w:val="left"/>
            </w:pPr>
            <w:r>
              <w:rPr>
                <w:rFonts w:ascii="Times New Roman" w:hAnsi="Times New Roman"/>
                <w:b/>
                <w:color w:val="000000"/>
                <w:sz w:val="22"/>
              </w:rPr>
              <w:t>Brief description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 or around 6 June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Removal of the Communication Book entry</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18 July 2023 to 18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Database access and the restricted correction process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16 October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concerns and the move to full time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23 August 2023 to 17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Notification of variable office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Pandemic leave submissions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After hours on call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New process was stated to take effect that day.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 entry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 to 9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Misdirected calls and the MASPER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complaint of 13 May 2024</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to 15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On-call roster and absence notification instructions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Respiratory directory error and requests for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Office hours request and the retraction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9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Seven hours recorded instead of eight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Processing of paid pandemic leave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Second shift recorded as seven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Overtime recorded as ordinary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Public holiday claim submitted late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Hours above the contracted fortnight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 enquiry and public holiday review</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four fortnight corrections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to 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Follow-up found no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16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 completed AVAC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about rostering</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Manager awaited Payroll confirmation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2(m)</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to 30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request and partly completed AVAC</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2(n)</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5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corrections reached a payslip</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2(o)</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June to 2 July 2025</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Later correction of the 9 February shift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4 September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Earlier roster error and proposed roster</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17 to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Consecutive shifts and the seven-hour break</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Sick leave after the consecutive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enquiry and refusal</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16 to 26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line error and proposed alternatives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 to 8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toolkit raised and HR advice awaited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Risk rating and roster decision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with the fatigue guideline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her earlier query and attached the guideline; internal record.</w:t>
            </w:r>
          </w:p>
        </w:tc>
      </w:tr>
    </w:tbl>
    <w:p/>
    <w:sectPr>
      <w:footerReference w:type="default" r:id="rIdFtrPg"/>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