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 The Appellant does not require to change his list of witnesses filed, or his outlines of evidence served on the Respondent, on 9 September 2026 under directions 1 and 2, and they stand as filed and served on that date.</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(26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30 September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