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b/>
          <w:bCs/>
          <w:color w:val="1F3864"/>
          <w:sz w:val="40"/>
          <w:szCs w:val="40"/>
        </w:rPr>
        <w:t xml:space="preserve">SHEPHERD v QUEENSLAND POLICE SERVICE</w:t>
      </w:r>
    </w:p>
    <w:p>
      <w:pPr>
        <w:spacing w:after="120"/>
        <w:jc w:val="center"/>
      </w:pPr>
      <w:r>
        <w:rPr>
          <w:b/>
          <w:bCs/>
          <w:color w:val="2E5294"/>
          <w:sz w:val="28"/>
          <w:szCs w:val="28"/>
        </w:rPr>
        <w:t xml:space="preserve">Comprehensive Forensic Analysis of Prosecution Disclosure</w:t>
      </w:r>
    </w:p>
    <w:p>
      <w:pPr>
        <w:spacing w:after="240"/>
        <w:jc w:val="center"/>
      </w:pPr>
      <w:r>
        <w:rPr>
          <w:i/>
          <w:iCs/>
          <w:color w:val="595959"/>
          <w:sz w:val="24"/>
          <w:szCs w:val="24"/>
        </w:rPr>
        <w:t xml:space="preserve">Three Iterations Compared — Ware Schedule Integrated</w:t>
      </w:r>
    </w:p>
    <w:p>
      <w:pPr>
        <w:spacing w:after="360"/>
        <w:jc w:val="center"/>
      </w:pPr>
      <w:r>
        <w:rPr>
          <w:sz w:val="20"/>
          <w:szCs w:val="20"/>
        </w:rPr>
        <w:t xml:space="preserve">Charge file: CO2500030466    |    Occurrence: QP2500332406</w:t>
      </w:r>
    </w:p>
    <w:p>
      <w:pPr>
        <w:spacing w:after="120"/>
        <w:jc w:val="center"/>
      </w:pPr>
      <w:r>
        <w:rPr>
          <w:sz w:val="20"/>
          <w:szCs w:val="20"/>
        </w:rPr>
        <w:t xml:space="preserve">Defendant: Cory Lea Shepherd  |  Court: Southport Magistrates Court</w:t>
      </w:r>
    </w:p>
    <w:p>
      <w:pPr>
        <w:spacing w:after="480"/>
        <w:jc w:val="center"/>
      </w:pPr>
      <w:r>
        <w:rPr>
          <w:sz w:val="20"/>
          <w:szCs w:val="20"/>
        </w:rPr>
        <w:t xml:space="preserve">Prepared: 4 May 2026  |  Solicitor: Justin Sibley, Sibley Lawyers</w:t>
      </w:r>
    </w:p>
    <w:p>
      <w:r>
        <w:br w:type="page"/>
      </w:r>
    </w:p>
    <w:p>
      <w:pPr>
        <w:pStyle w:val="Heading1"/>
        <w:spacing w:after="160" w:before="320"/>
      </w:pPr>
      <w:r>
        <w:rPr>
          <w:b/>
          <w:bCs/>
          <w:color w:val="1F3864"/>
          <w:sz w:val="32"/>
          <w:szCs w:val="32"/>
        </w:rPr>
        <w:t xml:space="preserve">Executive Summary</w:t>
      </w:r>
    </w:p>
    <w:p>
      <w:pPr>
        <w:spacing w:after="120"/>
      </w:pPr>
      <w:r>
        <w:t xml:space="preserve">This document analyses the prosecution case in Shepherd v Queensland Police Service (charge file CO2500030466, occurrence QP2500332406) by reference to the documentary record disclosed to the defendant across three principal iterations. The first iteration is the QP9 court brief generated on 10 March 2025 by Constable Yavuzer.HarrisonL of the Logan District. The second iteration is the Full Brief of Evidence served at the 4 July 2025 mention and re-issued in expanded form on 22 August 2025. The third iteration is the QP9 court brief re-generated on 29 April 2026 by Casey Beck of the Logan District legal division and forwarded to the defendant's solicitor eight minutes after creation.</w:t>
      </w:r>
    </w:p>
    <w:p>
      <w:pPr>
        <w:spacing w:after="120"/>
      </w:pPr>
      <w:r>
        <w:t xml:space="preserve">The forensic position established by the analysis is that the prosecution case has been disclosed in three iterations across fourteen months, that each iteration introduces fresh defects without curing the defects of the previous iteration, and that the principal civilian witness statement remains missing one of four pages while the longest police statement on the brief has never been served. Material civilian witnesses identified at the scene have never been interviewed, fourteen months on. The action officer certification and brief checker certification on both QP9 versions remain unsigned.</w:t>
      </w:r>
    </w:p>
    <w:p>
      <w:pPr>
        <w:spacing w:after="120"/>
      </w:pPr>
      <w:r>
        <w:t xml:space="preserve">Of the thirty-three disclosure items Nick Ware (the defendant's then-solicitor at Howden Saggers Lawyers) identified in his letter of 25 September 2025 to the QPS Gold Coast Prosecutions inbox, twelve have been produced in the seven months since and twenty-one remain outstanding. The maximum elapsed period of non-disclosure is 222 days. Of the thirty fields tracked across the three iterations of the prosecution case, sixteen show material change between iterations, eight show no change but contain defects on the prosecution's own face, and six are points where the same defect has been carried forward through every iteration without correction.</w:t>
      </w:r>
    </w:p>
    <w:p>
      <w:pPr>
        <w:spacing w:after="120"/>
      </w:pPr>
      <w:r>
        <w:t xml:space="preserve">This document is structured as follows. Section 1 sets out the metadata identifying each of the three iterations. Section 2 provides a thirty-row master comparison table tracking every changed field across the three iterations, identifying the QPS user responsible for each change, the date of each change, the underlying evidentiary contradiction, and the legal significance. Section 3 reproduces the Ware disclosure schedule of 25 September 2025, mapped against the three iterations and the present status as at 4 May 2026. Section 4 sets out the legal framework that governs the conduct disclosed and the procedural relief now available to the defence.</w:t>
      </w:r>
    </w:p>
    <w:p>
      <w:r>
        <w:br w:type="page"/>
      </w:r>
    </w:p>
    <w:p>
      <w:pPr>
        <w:pStyle w:val="Heading1"/>
        <w:spacing w:after="160" w:before="320"/>
      </w:pPr>
      <w:r>
        <w:rPr>
          <w:b/>
          <w:bCs/>
          <w:color w:val="1F3864"/>
          <w:sz w:val="32"/>
          <w:szCs w:val="32"/>
        </w:rPr>
        <w:t xml:space="preserve">1. The Three Iterations of the Prosecution Disclosure</w:t>
      </w:r>
    </w:p>
    <w:p>
      <w:pPr>
        <w:spacing w:after="120"/>
      </w:pPr>
      <w:r>
        <w:t xml:space="preserve">The metadata identifying each iteration of the prosecution case is set out in the table below. The author and producer fields are extracted directly from the PDF Document Information Dictionary of each tendered document; the production-pipeline classification reflects the software or hardware that produced each file.</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800"/>
        <w:gridCol w:w="2200"/>
        <w:gridCol w:w="2400"/>
        <w:gridCol w:w="800"/>
        <w:gridCol w:w="2400"/>
      </w:tblGrid>
      <w:tr>
        <w:tc>
          <w:tcPr>
            <w:tcW w:type="dxa" w:w="18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Iteration</w:t>
            </w:r>
          </w:p>
        </w:tc>
        <w:tc>
          <w:tcPr>
            <w:tcW w:type="dxa" w:w="30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Document</w:t>
            </w:r>
          </w:p>
        </w:tc>
        <w:tc>
          <w:tcPr>
            <w:tcW w:type="dxa" w:w="28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Date / Metadata Timestamp</w:t>
            </w:r>
          </w:p>
        </w:tc>
        <w:tc>
          <w:tcPr>
            <w:tcW w:type="dxa" w:w="22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Author Attributed</w:t>
            </w:r>
          </w:p>
        </w:tc>
        <w:tc>
          <w:tcPr>
            <w:tcW w:type="dxa" w:w="24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Producer Pipeline</w:t>
            </w:r>
          </w:p>
        </w:tc>
        <w:tc>
          <w:tcPr>
            <w:tcW w:type="dxa" w:w="8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Pages</w:t>
            </w:r>
          </w:p>
        </w:tc>
        <w:tc>
          <w:tcPr>
            <w:tcW w:type="dxa" w:w="24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Occasion</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6"/>
                <w:szCs w:val="16"/>
              </w:rPr>
              <w:t xml:space="preserve">ITERATION 1</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6"/>
                <w:szCs w:val="16"/>
              </w:rPr>
              <w:t xml:space="preserve">QP9 Court Brief v1</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6"/>
                <w:szCs w:val="16"/>
              </w:rPr>
              <w:t xml:space="preserve">10 March 2025, 09:19:14 AEST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6"/>
                <w:szCs w:val="16"/>
              </w:rPr>
              <w:t xml:space="preserve">Yavuzer.HarrisonL[LD]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6"/>
                <w:szCs w:val="16"/>
              </w:rPr>
              <w:t xml:space="preserve">Microsoft Print to PDF</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val="false"/>
                <w:bCs w:val="false"/>
                <w:color w:val="000000"/>
                <w:sz w:val="16"/>
                <w:szCs w:val="16"/>
              </w:rPr>
              <w:t xml:space="preserve">8</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6"/>
                <w:szCs w:val="16"/>
              </w:rPr>
              <w:t xml:space="preserve">Bail mention before Southport Magistrates Court (10/03/2025 08:30)</w:t>
            </w:r>
          </w:p>
        </w:tc>
      </w:tr>
      <w:tr>
        <w:tc>
          <w:tcPr>
            <w:tcW w:type="dxa" w:w="18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6"/>
                <w:szCs w:val="16"/>
              </w:rPr>
              <w:t xml:space="preserve">ITERATION 2</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6"/>
                <w:szCs w:val="16"/>
              </w:rPr>
              <w:t xml:space="preserve">Full Brief of Evidence (FBOE) — initial 4 July 2025 + updated 22 August 2025</w:t>
            </w:r>
          </w:p>
        </w:tc>
        <w:tc>
          <w:tcPr>
            <w:tcW w:type="dxa" w:w="28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6"/>
                <w:szCs w:val="16"/>
              </w:rPr>
              <w:t xml:space="preserve">Initial: 8 July 2025 batch scan 15:40–15:44 AEST. Updated: 21 August 2025, 17:38:53 AEST.</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6"/>
                <w:szCs w:val="16"/>
              </w:rPr>
              <w:t xml:space="preserve">Adobe Scan strips operator. ApeosPort-VII C2273 captures no operator.</w:t>
            </w:r>
          </w:p>
        </w:tc>
        <w:tc>
          <w:tcPr>
            <w:tcW w:type="dxa" w:w="2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6"/>
                <w:szCs w:val="16"/>
              </w:rPr>
              <w:t xml:space="preserve">Adobe Scan iOS 25.06.17 + 25.07.29 + Fujifilm ApeosPort-VII C2273</w:t>
            </w:r>
          </w:p>
        </w:tc>
        <w:tc>
          <w:tcPr>
            <w:tcW w:type="dxa" w:w="8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val="false"/>
                <w:bCs w:val="false"/>
                <w:color w:val="000000"/>
                <w:sz w:val="16"/>
                <w:szCs w:val="16"/>
              </w:rPr>
              <w:t xml:space="preserve">4</w:t>
            </w:r>
          </w:p>
        </w:tc>
        <w:tc>
          <w:tcPr>
            <w:tcW w:type="dxa" w:w="2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6"/>
                <w:szCs w:val="16"/>
              </w:rPr>
              <w:t xml:space="preserve">Brief of evidence served for committal proceeding</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6"/>
                <w:szCs w:val="16"/>
              </w:rPr>
              <w:t xml:space="preserve">ITERATION 3</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6"/>
                <w:szCs w:val="16"/>
              </w:rPr>
              <w:t xml:space="preserve">QP9 Court Brief v2</w:t>
            </w:r>
          </w:p>
        </w:tc>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6"/>
                <w:szCs w:val="16"/>
              </w:rPr>
              <w:t xml:space="preserve">29 April 2026, 12:37:05 AEST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6"/>
                <w:szCs w:val="16"/>
              </w:rPr>
              <w:t xml:space="preserve">Beck.CaseyE[LD]  (Windows account 4048952)</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6"/>
                <w:szCs w:val="16"/>
              </w:rPr>
              <w:t xml:space="preserve">Microsoft Print to PDF</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val="false"/>
                <w:bCs w:val="false"/>
                <w:color w:val="000000"/>
                <w:sz w:val="16"/>
                <w:szCs w:val="16"/>
              </w:rPr>
              <w:t xml:space="preserve">11</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6"/>
                <w:szCs w:val="16"/>
              </w:rPr>
              <w:t xml:space="preserve">Re-issued by Beck and forwarded to Sibley 8 minutes after creation</w:t>
            </w:r>
          </w:p>
        </w:tc>
      </w:tr>
    </w:tbl>
    <w:p>
      <w:pPr>
        <w:spacing w:before="240"/>
      </w:pPr>
    </w:p>
    <w:p>
      <w:pPr>
        <w:spacing w:after="120"/>
      </w:pPr>
      <w:r>
        <w:t xml:space="preserve">Two of the three iterations bear an identifiable QPS user attribution. Both QP9 versions were generated using Microsoft Print to PDF, which captures the Windows Active Directory username of the operator. The first QP9 was authored by Constable Yavuzer.HarrisonL of the Logan District. The second QP9 was authored by Casey Beck of the same district under the Windows user account 4048952, which is consistent with her QPS registered number. The Full Brief of Evidence was produced through scanning pipelines (Adobe Scan iOS and a Fujifilm ApeosPort-VII multifunction printer) that do not capture the operator's identity in the file metadata. The defendant is entitled, on formal disclosure demand, to the QPS internal records identifying the operator of the Adobe Scan and ApeosPort scans on each occasion.</w:t>
      </w:r>
    </w:p>
    <w:p>
      <w:r>
        <w:br w:type="page"/>
      </w:r>
    </w:p>
    <w:p>
      <w:pPr>
        <w:pStyle w:val="Heading1"/>
        <w:spacing w:after="160" w:before="320"/>
      </w:pPr>
      <w:r>
        <w:rPr>
          <w:b/>
          <w:bCs/>
          <w:color w:val="1F3864"/>
          <w:sz w:val="32"/>
          <w:szCs w:val="32"/>
        </w:rPr>
        <w:t xml:space="preserve">2. Master Comparison Table — Thirty Fields Across Three Iterations</w:t>
      </w:r>
    </w:p>
    <w:p>
      <w:pPr>
        <w:spacing w:after="120"/>
      </w:pPr>
      <w:r>
        <w:t xml:space="preserve">The table below records every changed or contradicted field across the three iterations of the prosecution disclosure. The 'Iteration' columns record the position taken in each version. The 'Who Changed It' column identifies the QPS user or witness responsible. The 'When' column records the metadata-confirmed date and time. The 'Contradicted By' column identifies the underlying evidentiary contradiction in the prosecution's own materials. The 'Legal Significance' column states the consequence for the defence position.</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1500"/>
        <w:gridCol w:w="1700"/>
        <w:gridCol w:w="2100"/>
        <w:gridCol w:w="1700"/>
        <w:gridCol w:w="1300"/>
        <w:gridCol w:w="1300"/>
        <w:gridCol w:w="2200"/>
        <w:gridCol w:w="2100"/>
      </w:tblGrid>
      <w:tr>
        <w:trPr>
          <w:tblHeader/>
        </w:trPr>
        <w:tc>
          <w:tcPr>
            <w:tcW w:type="dxa" w:w="4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w:t>
            </w:r>
          </w:p>
        </w:tc>
        <w:tc>
          <w:tcPr>
            <w:tcW w:type="dxa" w:w="11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Category</w:t>
            </w:r>
          </w:p>
        </w:tc>
        <w:tc>
          <w:tcPr>
            <w:tcW w:type="dxa" w:w="15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Field</w:t>
            </w:r>
          </w:p>
        </w:tc>
        <w:tc>
          <w:tcPr>
            <w:tcW w:type="dxa" w:w="17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Iteration 1 (QP9 v1, 10/3/2025)</w:t>
            </w:r>
          </w:p>
        </w:tc>
        <w:tc>
          <w:tcPr>
            <w:tcW w:type="dxa" w:w="21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Iteration 2 (FBOE, 4/7→22/8/2025)</w:t>
            </w:r>
          </w:p>
        </w:tc>
        <w:tc>
          <w:tcPr>
            <w:tcW w:type="dxa" w:w="17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Iteration 3 (QP9 v2, 29/4/2026)</w:t>
            </w:r>
          </w:p>
        </w:tc>
        <w:tc>
          <w:tcPr>
            <w:tcW w:type="dxa" w:w="13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Who Changed It</w:t>
            </w:r>
          </w:p>
        </w:tc>
        <w:tc>
          <w:tcPr>
            <w:tcW w:type="dxa" w:w="13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When</w:t>
            </w:r>
          </w:p>
        </w:tc>
        <w:tc>
          <w:tcPr>
            <w:tcW w:type="dxa" w:w="22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Contradicted By</w:t>
            </w:r>
          </w:p>
        </w:tc>
        <w:tc>
          <w:tcPr>
            <w:tcW w:type="dxa" w:w="21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Legal Significance</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1</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Charge particulars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Charge 1 indictable offence anchor (s 421(2) Code)</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particularised. Charge stated without identifying underlying indictable offence.</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 revised particulars served between QP9 v1 and Beck's re-issue.</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Identified as 'stealing'.</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Beck.CaseyE[LD]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29 April 2026, 12:37:05 AEST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Same QP9 v2 narrative records 'It's my dog' on exit and 'entitled to remain on the premises as he was still listed on the lease'.</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Section 22 Code claim of right is complete defence. Material amendment requires s 48 Justices Act leave; not sought.</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2</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Charge particulars</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Charge 2 stalking facts (s 359E Code)</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particularised in narrative.</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particularised in FBOE.</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Full narrative pleaded for first time, with witness category list naming Negro and Phillips.</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Beck.CaseyE[LD]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29 April 2026, 12:37:05 AEST</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Stalking requires course of conduct under s 359C; single-night events do not satisfy 'protracted' or 'on more than one occasion' threshold.</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Material amendment introducing case the defendant must meet. s 48 leave not sought.</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Charge particulars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Charge 3 DVO conditions (DFVPA s 177(2)(b))</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(1) Good behaviour towards aggrieved; (2) allow aggrieved to enter premises before 01/01/2025.</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Same conditions reproduced; TPO listed as exhibit 6 on Updated FBOE.</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Same two conditions pleaded verbatim.</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 change across iterations.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N/A</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Condition 2 expired 01/01/2025 — fifty-four days before alleged offence. Aggrieved on Perth–Sydney flight during incident, making condition 1 incapable of contravention.</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Pleaded charge defeated on prosecution's own pleading regardless of which iteration is read.</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4</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Chronology</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Time of alleged first incident (visit 1)</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Around 9:00pm on Sunday 23 February.</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 revised time stated in FBOE. Phillips statement records 7:50pm.</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Around 8:00pm on Sunday 23 February.</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Beck.CaseyE[LD]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29 April 2026, 12:37:05 AEST</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Phillips paragraph 9 (sworn): 'On the 23rd of February at 7:50pm, I was sitting in the first bedroom doing my makeup'.</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One-hour shift in pleaded chronology with no source identified. Neither version aligns with witness's sworn statement. Founds objection to inconsistent particulars.</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Chronology</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Day of week — police shift commencement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stated in QP9 v1 narrative.</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Three police statements give three different days: Easthope 'Saturday'; Bickery 'Sunday'; Harmer 'Tuesday'.</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Repeats narrative pattern of QP9 v1.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Easthope, Bickery, Harmer (independent witnesses)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17/07/2025 (Easthope, Harmer); 30/06/2025 (Bickery)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Calendar: 23 February 2025 was a Sunday. Only Bickery is correct.</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Three sworn statements, three different days. Founds challenge to reliability of every police statement on basic procedural fact.</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6</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Witness characterisation</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Phillips status</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formally categorised.</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Phillips statement paragraph 3 (her own words): 'house sitting'.</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Categorised as 'residing with VICTIM, present during initial incident'.</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Beck.CaseyE[LD]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29 April 2026, 12:37:05 AEST</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Phillips paragraph 3 (sworn): 'I started staying at Alexis' Unit. I was house sitting for her as she and her mother went on holiday to Perth'.</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Upgrade from house-sitter to co-resident contradicted by witness's own statement. Bears on consent and authority to consent to entry.</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7</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Witness characterisation</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Aggrieved descriptor</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 prior-history characterisation.</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 characterisation in FBOE.</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Tagged 'history of domestic abuse'.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Beck.CaseyE[LD]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29 April 2026, 12:37:05 AEST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 documentary basis disclosed in any iteration of brief. Negro's own statement silent on prior history.</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Prejudicial bad-character assertion without evidentiary foundation. Founds objection under Evidence Act 1977 and prosecutorial duty of candour.</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8</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Arresting officer</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Identity of arresting officer</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specified in QP9 v1 narrative.</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Original FBOE 4/7/2025 listed THREE officers as 'Arresting officer' (Bickery, Davies, Harmer — procedural impossibility). Updated FBOE 22/8/2025 corrected to: Bickery 'A/O', Davies '2IC', Harmer 'Assisting Officer'.</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Charge sequencing does not re-state attribution.</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Unattributed (ApeosPort-VII C2273; no operator captured)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21 August 2025, 17:38:53 AEST</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Bickery para 11: he alone arrested. Easthope para 11: 'Davies and Bickery'. Harmer para 9: 'Constable SHEPHERD and Constable BICKERY' (defendant named as constable in his own arrest).</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Tacit correction without notice or explanation. Three witness accounts mutually contradictory. Founds challenge to all police evidence.</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9</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Defendant antecedents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Recorded residential address</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158 Scarborough Street Ste 104, Southport QLD 4215.</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separately recorded in FBOE Index.</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43 Clear River Bvd, Ashmore QLD 4214.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Beck.CaseyE[LD]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29 April 2026, 12:37:05 AEST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Iteration 1 admission cannot be retrospectively unmade. QP9 v1 records that as at 10/03/2025, QPS's own record had defendant residing at the alleged trespass premises.</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Iteration 1 records QPS's own contemporaneous admission. Address change in Iteration 3 cannot retrospectively unmake earlier admission.</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10</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Evidence schedule</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Electronic Record of Interview (E.R.O.I.)</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listed in evidence schedule.</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separately exhibited in FBOE.</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Listed at Charge 2 evidence schedule: 'Interviewed at Southport Watchhouse on BWC'.</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Beck.CaseyE[LD]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29 April 2026, 12:37:05 AEST</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ROI footage and transcript never disclosed despite s 437 PPRA 7-day production obligation and s 590AB Code continuing duty.</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Iteration 3 is first written confirmation that ROI exists. Continuing 14-month disclosure failure. Founds independent disclosure ground and abuse-of-process limb.</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11</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Police statements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Bickery statement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annexed to QP9 v1 (statement did not exist as at 10/03/2025).</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Initial FBOE 4/7/2025: box left blank. Updated FBOE 22/8/2025: 'Y, 3 pages'. Statement typed 30/06/2025; signed 01/07/2025.</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 to QP9 v2.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Bickery (witness); ApeosPort scan operator (FBOE update)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Statement: 30/6/2025 typed, 1/7/2025 signed. Listed on Updated FBOE: 21/8/2025.</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Bickery paragraph 2 admits the statement was 'refreshed' from QPRIME database — not from independent recollection — four months after events.</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Reconstructed statement from shared database. Founds challenge to independence of recollection.</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12</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Police statements</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Davies statement</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annexed (did not exist).</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Initial FBOE: blank. Updated FBOE: 'Y, 5 pages'. Statement never disclosed to defence.</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Davies (witness); ApeosPort scan operator</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Listed as existing on Updated FBOE 21/8/2025; never served.</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Listed by prosecution as 5 pages but not produced. Davies took Phillips statement and conducted bedroom questioning.</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Continuing non-disclosure of longest police statement, by central police participant. Identified by Ware on 25/9/2025 as outstanding; 7+ months later still not produced.</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13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Police statements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Easthope statement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annexed (did not exist).</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Initial FBOE: 'N'. Updated FBOE: 'Y, 3 pages'. Statement typed and signed 17/07/2025.</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Easthope (witness); ApeosPort scan operator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Statement: 17/7/2025. Listed: 21/8/2025.</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Easthope para 4: shift commencing 'On Saturday the 23rd of February' — incorrect (was Sunday).</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Day-of-week error in sworn statement; marker of unreliability.</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14</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Police statements</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Harmer statement</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annexed (did not exist).</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Initial FBOE: blank. Updated FBOE: 'Y, 2 pages'. Statement typed 17/07/2025; signed 18/07/2025.</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Harmer (witness); ApeosPort scan operator</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Statement: 17–18/7/2025. Listed: 21/8/2025.</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Harmer para 2: 'On Tuesday the day of 23th of February' — incorrect. Para 9: 'I was witness to Constable SHEPHERD and Constable BICKERY place Cory under arrest' — defendant named as constable in own arrest.</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Day-of-week error and unintelligible arrest sentence in sworn statement.</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15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Police statements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Butler statement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annexed (did not exist).</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Initial FBOE: 'N'. Updated FBOE: 'Y, 3 pages'. Never served on defence.</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Butler (witness); ApeosPort scan operator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Listed: 21/8/2025; never served.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Listed by prosecution as 3 pages but not produced.</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Continuing non-disclosure. Identified by Ware on 25/9/2025 as outstanding; 7+ months later still not produced.</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16</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Police statements</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Contacos statement</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annexed.</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Initial FBOE: blank. Updated FBOE: 'N — N/A'.</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N/A</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N/A</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Officer attended scene per FBOE witness list but no statement taken.</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Scene officer with no statement; founds Mahmood adverse inference.</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17</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Civilian statements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Phillips statement — page count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annexed to QP9 v1.</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Initial and Updated FBOE both record: 'Y, 4 pages'. PDF served has only 3 pages. Footers read 'Page 1 of 4', 'Page 2 of 4', 'Page 4 of 4'. Paragraph numbering jumps from 15 to 21 — five paragraphs absent.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Adobe Scan operator (unattributed)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8/7/2025 at 15:44:48 AEST. Defect identified in writing by Ware to QPS Prosecutions on 25/9/2025; not cured.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Phillips's own Justices Act acknowledgement: 'this written statement contained in the pages numbered 1 to 4 is true'. Three of four pages produced.</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Continuing disclosure failure. Missing paragraphs 16–20 cover temporal midpoint of alleged offence (between alleged second entry at 1:50am and police arrival). Notice given by Ware 7+ months ago and ignored.</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18</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Civilian statements</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Negro statement</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annexed to QP9 v1.</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Both FBOE iterations: 'Y, 6 pages'. Typed 25/02/2025; signed handwritten 26/02/2025; PDF created 8/7/2025 — 132 days later.</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Negro (witness); Adobe Scan operator</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Statement 25–26/2/2025; PDF 8/7/2025.</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Statement signed on the day after Magistrate Brunello vacated the underlying TPO. Adobe Scan stripped image-level EXIF; no contemporaneous capture proof.</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Late-typed, late-signed, late-scanned. Justices Act s 110A acknowledgement on date prior to actual signing. Founds credit and timing challenge.</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19</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Exhibit list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Body-worn camera discs (5 officers)</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itemised.</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Initial FBOE: only 'Multiple videos, photographs' (generic). Updated FBOE: 5 separate discs listed Y for Bickery, Harmer, Easthope, Davies, Butler.</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separately re-listed.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Unattributed (ApeosPort scan)</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21 August 2025, 17:38:53 AEST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Five discs listed but none disclosed to defence in unedited form. Identified by Ware on 25/9/2025 as outstanding for Bickery, Harmer, Davies, Butler; only Easthope produced.</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Continuing non-disclosure of primary contemporaneous footage. Engages s 590AB Code continuing duty.</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20</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Exhibit list</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Section 95 certificate (Bickery)</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on initial FBOE. Added on Updated FBOE: 'Y'.</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Unattributed (ApeosPort scan)</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21 August 2025, 17:38:53 AEST</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Justices Act s 95 tendering certificate listed but not disclosed.</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Authentication certificate for the underlying TPO. Without it, prosecution cannot tender the order — yet the defence cannot examine it.</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21</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Exhibit list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Temporary Protection Order itself</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Reference made in narrative; order not exhibited.</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separately exhibited on initial FBOE. Added on Updated FBOE: 'Y'.</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Unattributed (ApeosPort scan)</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21 August 2025, 17:38:53 AEST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TPO was withdrawn by QPS and vacated by Magistrate Brunello on 25/02/2025. Form 44 Verdict and Judgment Record dated 26/02/2025.</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Prosecution exhibits the very order it admits was vacated 14 months before QP9 v2 was issued.</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22</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Exhibit list</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DV / Criminal / Traffic histories of defendant</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on initial FBOE. Added on Updated FBOE: all three 'Y'.</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Unattributed (ApeosPort scan)</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21 August 2025, 17:38:53 AEST</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Ware noted in writing on 25/9/2025: 'We note that these should be removed from the list of exhibits'. Items remain on brief.</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Bad-character material flagged improper by solicitor of record; retained without explanation. Engages prosecutorial duty of candour and rules of evidence.</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23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Exhibit list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23 pages of email screenshots (Negro–Shepherd–property manager)</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on initial FBOE. Added on Updated FBOE: 'Y'.</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Unattributed (ApeosPort scan)</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21 August 2025, 17:38:53 AEST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Listed as 23 pages but never disclosed. Likely contains exculpatory property-management correspondence relevant to lawful-entry defence.</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Continuing non-disclosure of contemporaneous correspondence material to s 22 claim of right and tenancy interest.</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24</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Exhibit list</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22 pages of text messages (Negro–Shepherd)</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on initial FBOE. Added on Updated FBOE: 'Y'.</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Unattributed (ApeosPort scan)</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21 August 2025, 17:38:53 AEST</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Negro statement reproduces selected messages; full corpus not disclosed.</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Continuing non-disclosure of message corpus from which Negro statement extracts. Defence cannot test selection bias without full data.</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25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Exhibit list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Form 13 e-signed by Shepherd</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on initial FBOE. Added on Updated FBOE: 'Y'.</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Unattributed (ApeosPort scan)</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21 August 2025, 17:38:53 AEST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A Form 13 (notice of intention to leave under RTRAA) can only be filed by tenant of record. Existence in prosecution exhibit list confirms Cory was a tenant.</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Prosecution's own exhibit list contains the document that proves the lawful-tenancy defence to charges 1 and 3.</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26</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Exhibit list</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Change of ownership document — dog Romeo</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on initial FBOE. Added on Updated FBOE: 'Y'.</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Unattributed (ApeosPort scan)</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21 August 2025, 17:38:53 AEST</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Document evidences transfer of dog's ownership — bears directly on s 22 Code claim-of-right defence to charge 1 stealing anchor introduced in Iteration 3.</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Prosecution holds document that defeats the indictable-offence anchor it later pleaded.</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27</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Documentary integrity</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Brief checker certification</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Unsigned. Both Yes/No boxes blank.</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separately certified at FBOE level.</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Unsigned. Both Yes/No boxes blank.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Brief checker (unidentified) — failed to sign in both QP9 versions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N/A — internal QPS verification step never completed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QPS internal procedure requires brief-checker certification before service. Beck served QP9 v2 without that certification, as did Yavuzer.HarrisonL with QP9 v1.</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Both QP9s served without QPS internal verification. Founds challenge to integrity of charging instrument.</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28</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Documentary integrity</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Action officer certification</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Unsigned.</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N/A.</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Unsigned.</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Action officer — failed to sign in both QP9 versions</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N/A</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Action officer required to certify 'true and accurate summary of all the facts'. No certification in either version.</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Both QP9s served without action-officer certification.</w:t>
            </w:r>
          </w:p>
        </w:tc>
      </w:tr>
      <w:tr>
        <w:tc>
          <w:tcPr>
            <w:tcW w:type="dxa" w:w="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29</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Documentary integrity</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Defendant's surname</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Three occurrences of 'SHPHERD' (typo) in charge particulars.</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N/A.</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Three occurrences of 'SHPHERD' carried over and retained.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Beck retained typo from Yavuzer.HarrisonL</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29 April 2026 (typo retained from 10 March 2025 original)</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Defendant's correct name is SHEPHERD per all witness statements and identifying documents.</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Section 47 Justices Act requires sufficient description of the defendant. Defendant misnamed in three places in formal charge particulars.</w:t>
            </w:r>
          </w:p>
        </w:tc>
      </w:tr>
      <w:tr>
        <w:tc>
          <w:tcPr>
            <w:tcW w:type="dxa" w:w="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30</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Documentary integrity</w:t>
            </w:r>
          </w:p>
        </w:tc>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Youth Justice Act s 11 template prompts</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Present in QP9 v1 (defendant aged 34).</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N/A.</w:t>
            </w:r>
          </w:p>
        </w:tc>
        <w:tc>
          <w:tcPr>
            <w:tcW w:type="dxa" w:w="17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Present in QP9 v2 — three occurrences (pages 3, 7, 8).</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Beck retained template artefact from Yavuzer.HarrisonL</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29 April 2026 (artefact retained from 10 March 2025 original)</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Defendant 34 years of age; Youth Justice Act has no application.</w:t>
            </w:r>
          </w:p>
        </w:tc>
        <w:tc>
          <w:tcPr>
            <w:tcW w:type="dxa" w:w="2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Marker that QP9 v2 was not properly proof-read by author. Same artefacts retained 14 months later.</w:t>
            </w:r>
          </w:p>
        </w:tc>
      </w:tr>
    </w:tbl>
    <w:p>
      <w:r>
        <w:br w:type="page"/>
      </w:r>
    </w:p>
    <w:p>
      <w:pPr>
        <w:pStyle w:val="Heading1"/>
        <w:spacing w:after="160" w:before="320"/>
      </w:pPr>
      <w:r>
        <w:rPr>
          <w:b/>
          <w:bCs/>
          <w:color w:val="1F3864"/>
          <w:sz w:val="32"/>
          <w:szCs w:val="32"/>
        </w:rPr>
        <w:t xml:space="preserve">3. Ware Disclosure Schedule — Mapped Across the Three Iterations</w:t>
      </w:r>
    </w:p>
    <w:p>
      <w:pPr>
        <w:spacing w:after="120"/>
      </w:pPr>
      <w:r>
        <w:t xml:space="preserve">On Thursday, 25 September 2025 at 5:28 PM AEST, Nick Ware (Associate, Howden Saggers Lawyers) sent an email to the Queensland Police Service Gold Coast Prosecutions inbox titled 'Southport Police Prosecutions v Cory Shepherd'. The email noted that the matter was listed for mention on 3 October 2025 and provided a tabulated reconciliation of the brief Ware had received against the Index to Brief, identifying every item that was outstanding. He also made ten additional disclosure requests beyond the index. The thirty-three items he identified are reproduced in two parts below, mapped against each iteration of the prosecution disclosure and against the present status as at 4 May 2026 (222 days after Ware's letter).</w:t>
      </w:r>
    </w:p>
    <w:p>
      <w:pPr>
        <w:spacing w:after="120"/>
      </w:pPr>
      <w:r>
        <w:t xml:space="preserve">The carriage of the prosecution file at the time of Ware's letter was held by Senior Prosecutor Lisa Plessius, who retained carriage through to her transfer to Casey Beck on or about 29 April 2026. Outstanding items are highlighted in colour.</w:t>
      </w:r>
    </w:p>
    <w:p>
      <w:pPr>
        <w:pStyle w:val="Heading2"/>
        <w:spacing w:after="120" w:before="240"/>
      </w:pPr>
      <w:r>
        <w:rPr>
          <w:b/>
          <w:bCs/>
          <w:color w:val="2E5294"/>
          <w:sz w:val="26"/>
          <w:szCs w:val="26"/>
        </w:rPr>
        <w:t xml:space="preserve">Part A — Reconciliation Against the FBOE Index</w:t>
      </w:r>
    </w:p>
    <w:p>
      <w:pPr>
        <w:spacing w:after="120"/>
      </w:pPr>
      <w:r>
        <w:t xml:space="preserve">Ware's first action was to reconcile the brief he had received against the Index to Brief, recording for each item whether it was 'Received' (Rec) or 'Outstanding' (Out). The Phillips entry attracted a specific note: 'Outstanding (Page 3 of 4 is missing — please provide a new copy)'. Ware also flagged the DV History, Criminal History, and Traffic History reports with an asterisk and the note 'We note that these should be removed from the list of exhibits' — identifying them as bad-character material with no proper place on a brief of evidence.</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2200"/>
        <w:gridCol w:w="1600"/>
        <w:gridCol w:w="2400"/>
        <w:gridCol w:w="1100"/>
        <w:gridCol w:w="3500"/>
      </w:tblGrid>
      <w:tr>
        <w:trPr>
          <w:tblHeader/>
        </w:trPr>
        <w:tc>
          <w:tcPr>
            <w:tcW w:type="dxa" w:w="6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w:t>
            </w:r>
          </w:p>
        </w:tc>
        <w:tc>
          <w:tcPr>
            <w:tcW w:type="dxa" w:w="24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Description</w:t>
            </w:r>
          </w:p>
        </w:tc>
        <w:tc>
          <w:tcPr>
            <w:tcW w:type="dxa" w:w="16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Iteration 1 (QP9 v1)</w:t>
            </w:r>
          </w:p>
        </w:tc>
        <w:tc>
          <w:tcPr>
            <w:tcW w:type="dxa" w:w="22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Iteration 2 (FBOE)</w:t>
            </w:r>
          </w:p>
        </w:tc>
        <w:tc>
          <w:tcPr>
            <w:tcW w:type="dxa" w:w="16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Iteration 3 (QP9 v2)</w:t>
            </w:r>
          </w:p>
        </w:tc>
        <w:tc>
          <w:tcPr>
            <w:tcW w:type="dxa" w:w="24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Status now (4 May 2026)</w:t>
            </w:r>
          </w:p>
        </w:tc>
        <w:tc>
          <w:tcPr>
            <w:tcW w:type="dxa" w:w="11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Days Out</w:t>
            </w:r>
          </w:p>
        </w:tc>
        <w:tc>
          <w:tcPr>
            <w:tcW w:type="dxa" w:w="35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Legal Consequence</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A1</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NEGRO statement</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annexed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Y, 6 pages</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Received</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val="false"/>
                <w:bCs w:val="false"/>
                <w:color w:val="000000"/>
                <w:sz w:val="14"/>
                <w:szCs w:val="14"/>
              </w:rPr>
              <w:t xml:space="preserve">0</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Statement signed day after TPO vacated; founds credibility challenge</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A2</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PHILLIPS — page 3 of 4 missing</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annexed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Y, 4 pages claimed; 3 served</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 — page 3 has never been produced</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7+ months written notice of defect ignored. Continuing s 590AB breach. Founds Mallard miscarriage of justice argument.</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A3</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Bickery statement</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Did not exist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Y, 3 pages</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Received</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val="false"/>
                <w:bCs w:val="false"/>
                <w:color w:val="000000"/>
                <w:sz w:val="14"/>
                <w:szCs w:val="14"/>
              </w:rPr>
              <w:t xml:space="preserve">0</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Para 2 admits statement 'refreshed' from QPRIME database — not independent recollection</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A4</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Davies statement (5 pages)</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Did not exist</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Y, 5 pages claimed</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 — never disclosed</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Longest police statement in brief, by central participant. Continuing s 590AB non-disclosure.</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A5</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Easthope statement</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Did not exist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Y, 3 pages</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Received</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val="false"/>
                <w:bCs w:val="false"/>
                <w:color w:val="000000"/>
                <w:sz w:val="14"/>
                <w:szCs w:val="14"/>
              </w:rPr>
              <w:t xml:space="preserve">0</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Records day of week as 'Saturday' — incorrect (was Sunday)</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A6</w:t>
            </w:r>
          </w:p>
        </w:tc>
        <w:tc>
          <w:tcPr>
            <w:tcW w:type="dxa" w:w="2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Harmer statement</w:t>
            </w:r>
          </w:p>
        </w:tc>
        <w:tc>
          <w:tcPr>
            <w:tcW w:type="dxa" w:w="1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Did not exist</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Y, 2 pages</w:t>
            </w:r>
          </w:p>
        </w:tc>
        <w:tc>
          <w:tcPr>
            <w:tcW w:type="dxa" w:w="1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2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Received</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val="false"/>
                <w:bCs w:val="false"/>
                <w:color w:val="000000"/>
                <w:sz w:val="14"/>
                <w:szCs w:val="14"/>
              </w:rPr>
              <w:t xml:space="preserve">0</w:t>
            </w:r>
          </w:p>
        </w:tc>
        <w:tc>
          <w:tcPr>
            <w:tcW w:type="dxa" w:w="3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Records day of week as 'Tuesday' — incorrect; unintelligible arrest sentence naming defendant as constable</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A7</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Butler statement (3 pages)</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Did not exist</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Y, 3 pages claimed</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 — never disclosed</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Continuing non-disclosure</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A8</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Contacos statement</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annexed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 — N/A'</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re-annexed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 — no statement ever taken</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Scene officer with no statement; founds Mahmood adverse inference</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A9</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Bickery BWCF disc</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exhibited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 — disc not disclosed unedited</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Primary contemporaneous footage of arrest; non-disclosure engages s 590AB</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A10</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Harmer BWCF disc</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exhibited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Continuing non-disclosure</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A11</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Easthope BWCF disc</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exhibited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Received</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val="false"/>
                <w:bCs w:val="false"/>
                <w:color w:val="000000"/>
                <w:sz w:val="14"/>
                <w:szCs w:val="14"/>
              </w:rPr>
              <w:t xml:space="preserve">0</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Easthope para 13 confirms he downloaded recording to disc</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A12</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Davies BWCF disc</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exhibited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Davies central participant; absence of footage significant</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A13</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Butler BWCF disc</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exhibited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Continuing non-disclosure</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A14</w:t>
            </w:r>
          </w:p>
        </w:tc>
        <w:tc>
          <w:tcPr>
            <w:tcW w:type="dxa" w:w="2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Temporary Protection Order</w:t>
            </w:r>
          </w:p>
        </w:tc>
        <w:tc>
          <w:tcPr>
            <w:tcW w:type="dxa" w:w="1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Referenced; not exhibited</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Received (vacated 25/2/2025)</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val="false"/>
                <w:bCs w:val="false"/>
                <w:color w:val="000000"/>
                <w:sz w:val="14"/>
                <w:szCs w:val="14"/>
              </w:rPr>
              <w:t xml:space="preserve">0</w:t>
            </w:r>
          </w:p>
        </w:tc>
        <w:tc>
          <w:tcPr>
            <w:tcW w:type="dxa" w:w="3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Prosecution exhibits the very order it knows was withdrawn day after alleged offence</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A15</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Section 95 certificate (Bickery)</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Without it, prosecution cannot tender underlying TPO</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A16</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DV History Report (Ware: improper)</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Retained — Ware flagged improper; ignored</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Bad-character material flagged improper by solicitor of record; retained without explanation</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A17</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Criminal History Report (Ware: improper)</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Retained — Ware flagged improper; ignored</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Bad-character material; engages prosecutorial duty of candour</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A18</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Traffic History Report (Ware: improper)</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Retained — Ware flagged improper; ignored</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Wholly irrelevant to charges; founds objection</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A19</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Video of Shepherd at dwelling with Romeo</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Received</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val="false"/>
                <w:bCs w:val="false"/>
                <w:color w:val="000000"/>
                <w:sz w:val="14"/>
                <w:szCs w:val="14"/>
              </w:rPr>
              <w:t xml:space="preserve">0</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Phillips's mobile recording; her statement at para 13 says 'I am able to tender these videos as evidence in court'</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bCs/>
                <w:color w:val="000000"/>
                <w:sz w:val="14"/>
                <w:szCs w:val="14"/>
              </w:rPr>
              <w:t xml:space="preserve">A20</w:t>
            </w:r>
          </w:p>
        </w:tc>
        <w:tc>
          <w:tcPr>
            <w:tcW w:type="dxa" w:w="2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bCs/>
                <w:color w:val="000000"/>
                <w:sz w:val="14"/>
                <w:szCs w:val="14"/>
              </w:rPr>
              <w:t xml:space="preserve">Change of ownership document — Romeo</w:t>
            </w:r>
          </w:p>
        </w:tc>
        <w:tc>
          <w:tcPr>
            <w:tcW w:type="dxa" w:w="1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Received</w:t>
            </w:r>
          </w:p>
        </w:tc>
        <w:tc>
          <w:tcPr>
            <w:tcW w:type="dxa" w:w="1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center"/>
            </w:pPr>
            <w:r>
              <w:rPr>
                <w:b w:val="false"/>
                <w:bCs w:val="false"/>
                <w:color w:val="000000"/>
                <w:sz w:val="14"/>
                <w:szCs w:val="14"/>
              </w:rPr>
              <w:t xml:space="preserve">0</w:t>
            </w:r>
          </w:p>
        </w:tc>
        <w:tc>
          <w:tcPr>
            <w:tcW w:type="dxa" w:w="3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top"/>
          </w:tcPr>
          <w:p>
            <w:pPr>
              <w:spacing w:after="40"/>
              <w:jc w:val="left"/>
            </w:pPr>
            <w:r>
              <w:rPr>
                <w:b w:val="false"/>
                <w:bCs w:val="false"/>
                <w:color w:val="000000"/>
                <w:sz w:val="14"/>
                <w:szCs w:val="14"/>
              </w:rPr>
              <w:t xml:space="preserve">Bears on s 22 Code claim-of-right defence to stealing anchor</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A21</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23 pages — emails Negro/Shepherd/property manager</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 — never disclosed</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Likely contains exculpatory property-management correspondence</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A22</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22 pages — text messages Negro/Shepherd</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 — never disclosed</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Full corpus needed to test Negro selection bias in statement</w:t>
            </w:r>
          </w:p>
        </w:tc>
      </w:tr>
      <w:t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bCs/>
                <w:color w:val="000000"/>
                <w:sz w:val="14"/>
                <w:szCs w:val="14"/>
              </w:rPr>
              <w:t xml:space="preserve">A23</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bCs/>
                <w:color w:val="000000"/>
                <w:sz w:val="14"/>
                <w:szCs w:val="14"/>
              </w:rPr>
              <w:t xml:space="preserve">Form 13 RTA form (e-signed by Shepherd)</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listed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Y</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Not re-listed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Received</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center"/>
            </w:pPr>
            <w:r>
              <w:rPr>
                <w:b w:val="false"/>
                <w:bCs w:val="false"/>
                <w:color w:val="000000"/>
                <w:sz w:val="14"/>
                <w:szCs w:val="14"/>
              </w:rPr>
              <w:t xml:space="preserve">0</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vAlign w:val="top"/>
          </w:tcPr>
          <w:p>
            <w:pPr>
              <w:spacing w:after="40"/>
              <w:jc w:val="left"/>
            </w:pPr>
            <w:r>
              <w:rPr>
                <w:b w:val="false"/>
                <w:bCs w:val="false"/>
                <w:color w:val="000000"/>
                <w:sz w:val="14"/>
                <w:szCs w:val="14"/>
              </w:rPr>
              <w:t xml:space="preserve">Form 13 can only be filed by tenant of record. Confirms tenancy interest. Defeats unlawful-entry premise.</w:t>
            </w:r>
          </w:p>
        </w:tc>
      </w:tr>
    </w:tbl>
    <w:p>
      <w:pPr>
        <w:spacing w:before="240"/>
      </w:pPr>
    </w:p>
    <w:p>
      <w:pPr>
        <w:pStyle w:val="Heading2"/>
        <w:spacing w:after="120" w:before="240"/>
      </w:pPr>
      <w:r>
        <w:rPr>
          <w:b/>
          <w:bCs/>
          <w:color w:val="2E5294"/>
          <w:sz w:val="26"/>
          <w:szCs w:val="26"/>
        </w:rPr>
        <w:t xml:space="preserve">Part B — Additional Disclosure Requests</w:t>
      </w:r>
    </w:p>
    <w:p>
      <w:pPr>
        <w:spacing w:after="120"/>
      </w:pPr>
      <w:r>
        <w:t xml:space="preserve">In addition to the items Ware identified as outstanding against the FBOE Index, he made ten further disclosure requests. The list reflects the breadth of material that any solicitor preparing to defend the matter would expect the prosecution to disclose. None of the ten requests has been actioned in the seven months since the letter.</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2200"/>
        <w:gridCol w:w="1600"/>
        <w:gridCol w:w="2400"/>
        <w:gridCol w:w="1100"/>
        <w:gridCol w:w="3500"/>
      </w:tblGrid>
      <w:tr>
        <w:trPr>
          <w:tblHeader/>
        </w:trPr>
        <w:tc>
          <w:tcPr>
            <w:tcW w:type="dxa" w:w="6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w:t>
            </w:r>
          </w:p>
        </w:tc>
        <w:tc>
          <w:tcPr>
            <w:tcW w:type="dxa" w:w="24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Description</w:t>
            </w:r>
          </w:p>
        </w:tc>
        <w:tc>
          <w:tcPr>
            <w:tcW w:type="dxa" w:w="16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Iteration 1 (QP9 v1)</w:t>
            </w:r>
          </w:p>
        </w:tc>
        <w:tc>
          <w:tcPr>
            <w:tcW w:type="dxa" w:w="22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Iteration 2 (FBOE)</w:t>
            </w:r>
          </w:p>
        </w:tc>
        <w:tc>
          <w:tcPr>
            <w:tcW w:type="dxa" w:w="16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Iteration 3 (QP9 v2)</w:t>
            </w:r>
          </w:p>
        </w:tc>
        <w:tc>
          <w:tcPr>
            <w:tcW w:type="dxa" w:w="24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Status now (4 May 2026)</w:t>
            </w:r>
          </w:p>
        </w:tc>
        <w:tc>
          <w:tcPr>
            <w:tcW w:type="dxa" w:w="11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Days Out</w:t>
            </w:r>
          </w:p>
        </w:tc>
        <w:tc>
          <w:tcPr>
            <w:tcW w:type="dxa" w:w="3500"/>
            <w:tcBorders>
              <w:top w:val="single" w:color="999999" w:sz="4"/>
              <w:left w:val="single" w:color="999999" w:sz="4"/>
              <w:bottom w:val="single" w:color="999999" w:sz="4"/>
              <w:right w:val="single" w:color="999999" w:sz="4"/>
            </w:tcBorders>
            <w:shd w:fill="1F3864" w:val="clear"/>
            <w:tcMar>
              <w:top w:type="dxa" w:w="80"/>
              <w:left w:type="dxa" w:w="100"/>
              <w:bottom w:type="dxa" w:w="80"/>
              <w:right w:type="dxa" w:w="100"/>
            </w:tcMar>
            <w:vAlign w:val="top"/>
          </w:tcPr>
          <w:p>
            <w:pPr>
              <w:spacing w:after="40"/>
              <w:jc w:val="left"/>
            </w:pPr>
            <w:r>
              <w:rPr>
                <w:b/>
                <w:bCs/>
                <w:color w:val="FFFFFF"/>
                <w:sz w:val="16"/>
                <w:szCs w:val="16"/>
              </w:rPr>
              <w:t xml:space="preserve">Legal Consequence</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B1</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All BWC footage from any officer</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Generic 5-disc reference</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 (4 of 5 missing)</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Continuing s 590AB breach</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B2</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Police notebook entries</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on FBOE</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 — never produced</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Officers' contemporaneous notebooks are primary record</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B3</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QPRIME records of this matter</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on FBOE</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QP9 v2 generated from QPRIME query 29/4/2026</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 — audit trail never produced</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QPRIME audit trail would identify every modification, supervisor approval, and production-pipeline timeline</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B4</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QPRIME records of defendant as informant at unit</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on FBOE</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Bears on prior occupancy and earlier complaints concerning the property</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B5</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Statement from property manager Dennis Constable</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on FBOE</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 — Beck 29/4/2026 admits no statement yet taken</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Material civilian witness identified at scene; engages Mahmood adverse inference</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B6</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Property manager / CCTV statement and BWC</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on FBOE</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CCTV footage of common areas would corroborate or refute police account</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B7</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Witness correspondence</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on FBOE</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Directly relevant to credit and witness coaching issues</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B8</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Complainant criminal history (Qld, Aus, Italy, USA, any country)</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on FBOE</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Complainant has international connections; any prior history bears on credit</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B9</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Negro–Shepherd messages held by police</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45 pages listed but undisclosed</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Prosecution holds full corpus; Negro statement extracts selected portions</w:t>
            </w:r>
          </w:p>
        </w:tc>
      </w:tr>
      <w:tr>
        <w:tc>
          <w:tcPr>
            <w:tcW w:type="dxa" w:w="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B10</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Negro–property management messages</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2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on FBOE</w:t>
            </w:r>
          </w:p>
        </w:tc>
        <w:tc>
          <w:tcPr>
            <w:tcW w:type="dxa" w:w="16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Not addressed</w:t>
            </w:r>
          </w:p>
        </w:tc>
        <w:tc>
          <w:tcPr>
            <w:tcW w:type="dxa" w:w="24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bCs/>
                <w:color w:val="000000"/>
                <w:sz w:val="14"/>
                <w:szCs w:val="14"/>
              </w:rPr>
              <w:t xml:space="preserve">OUTSTANDING</w:t>
            </w:r>
          </w:p>
        </w:tc>
        <w:tc>
          <w:tcPr>
            <w:tcW w:type="dxa" w:w="11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center"/>
            </w:pPr>
            <w:r>
              <w:rPr>
                <w:b/>
                <w:bCs/>
                <w:color w:val="000000"/>
                <w:sz w:val="14"/>
                <w:szCs w:val="14"/>
              </w:rPr>
              <w:t xml:space="preserve">222</w:t>
            </w:r>
          </w:p>
        </w:tc>
        <w:tc>
          <w:tcPr>
            <w:tcW w:type="dxa" w:w="3500"/>
            <w:tcBorders>
              <w:top w:val="single" w:color="999999" w:sz="4"/>
              <w:left w:val="single" w:color="999999" w:sz="4"/>
              <w:bottom w:val="single" w:color="999999" w:sz="4"/>
              <w:right w:val="single" w:color="999999" w:sz="4"/>
            </w:tcBorders>
            <w:shd w:fill="FBE5D6" w:val="clear"/>
            <w:tcMar>
              <w:top w:type="dxa" w:w="80"/>
              <w:left w:type="dxa" w:w="100"/>
              <w:bottom w:type="dxa" w:w="80"/>
              <w:right w:type="dxa" w:w="100"/>
            </w:tcMar>
            <w:vAlign w:val="top"/>
          </w:tcPr>
          <w:p>
            <w:pPr>
              <w:spacing w:after="40"/>
              <w:jc w:val="left"/>
            </w:pPr>
            <w:r>
              <w:rPr>
                <w:b w:val="false"/>
                <w:bCs w:val="false"/>
                <w:color w:val="000000"/>
                <w:sz w:val="14"/>
                <w:szCs w:val="14"/>
              </w:rPr>
              <w:t xml:space="preserve">Critical to test the lockout narrative</w:t>
            </w:r>
          </w:p>
        </w:tc>
      </w:tr>
    </w:tbl>
    <w:p>
      <w:r>
        <w:br w:type="page"/>
      </w:r>
    </w:p>
    <w:p>
      <w:pPr>
        <w:pStyle w:val="Heading1"/>
        <w:spacing w:after="160" w:before="320"/>
      </w:pPr>
      <w:r>
        <w:rPr>
          <w:b/>
          <w:bCs/>
          <w:color w:val="1F3864"/>
          <w:sz w:val="32"/>
          <w:szCs w:val="32"/>
        </w:rPr>
        <w:t xml:space="preserve">4. Legal Framework and Procedural Consequences</w:t>
      </w:r>
    </w:p>
    <w:p>
      <w:pPr>
        <w:pStyle w:val="Heading2"/>
        <w:spacing w:after="120" w:before="240"/>
      </w:pPr>
      <w:r>
        <w:rPr>
          <w:b/>
          <w:bCs/>
          <w:color w:val="2E5294"/>
          <w:sz w:val="26"/>
          <w:szCs w:val="26"/>
        </w:rPr>
        <w:t xml:space="preserve">4.1  Amendment of Charges Without Leave</w:t>
      </w:r>
    </w:p>
    <w:p>
      <w:pPr>
        <w:spacing w:after="120"/>
      </w:pPr>
      <w:r>
        <w:t xml:space="preserve">Section 48 of the Justices Act 1886 (Qld) governs amendment of complaints in the Magistrates Court. The provision permits amendment of a defective complaint or a complaint that varies from the evidence adduced, but only with the leave of the court and on terms the court considers just. Material amendments to the charges or to the substance of the particulars must be brought before the magistrate, on notice to the defendant, with an opportunity for the defendant to be heard.</w:t>
      </w:r>
    </w:p>
    <w:p>
      <w:pPr>
        <w:spacing w:after="120"/>
      </w:pPr>
      <w:r>
        <w:t xml:space="preserve">The amendments introduced in Iteration 3 (Beck's QP9 of 29 April 2026) include the addition of stealing as the indictable offence anchor for charge 1; the alteration of the alleged time of the first incident from 9:00pm to 8:00pm; the recharacterisation of the principal civilian witness from house-sitter to co-resident; the addition of a 'history of domestic abuse' descriptor attached to the aggrieved; and the first written confirmation of the existence of an electronic record of interview. None of these amendments was the subject of an application to the Southport Magistrates Court for leave under section 48. None was put on notice to the defendant or to his solicitor before service. The prosecution has substituted one set of particulars for another by editing the brief on a workstation and forwarding the new version to the defendant's solicitor, without curial sanction.</w:t>
      </w:r>
    </w:p>
    <w:p>
      <w:pPr>
        <w:spacing w:after="120"/>
      </w:pPr>
      <w:r>
        <w:t xml:space="preserve">The defence is entitled to require the prosecution to identify, in writing, every change between the iterations; to identify the date on which each change was approved; to identify the QPS officer who approved each change; and to identify any application made to the Magistrates Court for leave to amend. The defence is entitled to object to the prosecution leading evidence at any contested hearing on any matter that goes beyond the original particulars, and in the alternative, to oppose any belated section 48 application on the ground of prejudice.</w:t>
      </w:r>
    </w:p>
    <w:p>
      <w:pPr>
        <w:pStyle w:val="Heading2"/>
        <w:spacing w:after="120" w:before="240"/>
      </w:pPr>
      <w:r>
        <w:rPr>
          <w:b/>
          <w:bCs/>
          <w:color w:val="2E5294"/>
          <w:sz w:val="26"/>
          <w:szCs w:val="26"/>
        </w:rPr>
        <w:t xml:space="preserve">4.2  Continuing Disclosure Failures</w:t>
      </w:r>
    </w:p>
    <w:p>
      <w:pPr>
        <w:spacing w:after="120"/>
      </w:pPr>
      <w:r>
        <w:t xml:space="preserve">Section 590AB of the Criminal Code Act 1899 (Qld) imposes on the prosecution a continuing duty to disclose to the defence every thing in the prosecution's possession that may reasonably be regarded as relevant to the prosecution case or to the defence case. Section 437 of the Police Powers and Responsibilities Act 2000 (Qld) requires that an electronic record of interview be produced to the person interviewed within seven days of the interview. The High Court in Mallard v The Queen (2005) 224 CLR 125 and Grey v The Queen (2001) 75 ALJR 1708 has held that non-disclosure of material capable of affecting the defence case is a miscarriage of justice.</w:t>
      </w:r>
    </w:p>
    <w:p>
      <w:pPr>
        <w:spacing w:after="120"/>
      </w:pPr>
      <w:r>
        <w:t xml:space="preserve">The disclosure failures identified in this document are not single instances. Twenty-one of Ware's thirty-three identified items remain outstanding, 222 days after his written request. The principal civilian witness statement is missing one of four pages — a defect put in writing to the prosecution on 25 September 2025 and ignored. The longest police statement on the brief, that of Constable Davies, has never been served. Material civilian witnesses (Dennis the building manager and Thomas Balsley) have never been interviewed, fourteen months on. Beck's email of 29 April 2026 admits, in terms, that the prosecution has only just 'tasked the AO to attempt to obtain statements'. The disclosure failures are not inadvertent; they are the subject of a continuous documentary record of inaction across two prosecutors.</w:t>
      </w:r>
    </w:p>
    <w:p>
      <w:pPr>
        <w:pStyle w:val="Heading2"/>
        <w:spacing w:after="120" w:before="240"/>
      </w:pPr>
      <w:r>
        <w:rPr>
          <w:b/>
          <w:bCs/>
          <w:color w:val="2E5294"/>
          <w:sz w:val="26"/>
          <w:szCs w:val="26"/>
        </w:rPr>
        <w:t xml:space="preserve">4.3  Abuse of Process</w:t>
      </w:r>
    </w:p>
    <w:p>
      <w:pPr>
        <w:spacing w:after="120"/>
      </w:pPr>
      <w:r>
        <w:t xml:space="preserve">The High Court in Walton v Gardiner (1993) 177 CLR 378 and Strickland v Commonwealth Director of Public Prosecutions (2018) 266 CLR 325 has confirmed that the inherent supervisory jurisdiction of the courts extends to the staying of proceedings where their continuation would constitute an abuse of process. The conduct disclosed by the materials in this document — including the unauthorised re-issue of the QP9, the seven-month silence in response to a solicitor's disclosure list, the continued reliance on bad-character exhibits identified as improper, the contradictory police statements on basic procedural facts, and the missing page of the principal civilian witness statement — engages the abuse-of-process jurisdiction in its classical form.</w:t>
      </w:r>
    </w:p>
    <w:p>
      <w:pPr>
        <w:spacing w:after="120"/>
      </w:pPr>
      <w:r>
        <w:t xml:space="preserve">In the alternative, the defence is entitled to seek the exclusion of evidence under Bunning v Cross (1978) 141 CLR 54, on the basis that the public interest in admitting the evidence is outweighed by the public interest in vindicating the procedural and disclosure obligations the prosecution has continuously breached. A costs application under section 158 of the Justices Act 1886 (Qld) is also available, on the basis of unreasonable conduct by the prosecution that has caused the defendant unnecessary expense.</w:t>
      </w:r>
    </w:p>
    <w:p>
      <w:pPr>
        <w:pStyle w:val="Heading2"/>
        <w:spacing w:after="120" w:before="240"/>
      </w:pPr>
      <w:r>
        <w:rPr>
          <w:b/>
          <w:bCs/>
          <w:color w:val="2E5294"/>
          <w:sz w:val="26"/>
          <w:szCs w:val="26"/>
        </w:rPr>
        <w:t xml:space="preserve">4.4  The Prosecutorial Test</w:t>
      </w:r>
    </w:p>
    <w:p>
      <w:pPr>
        <w:spacing w:after="120"/>
      </w:pPr>
      <w:r>
        <w:t xml:space="preserve">The Director's Guidelines under the Director of Public Prosecutions Act 1984 (Qld) set out the two-tier test that applies to every prosecution decision. The first limb is that the prosecution must have a reasonable prospect of conviction on the available admissible evidence. The second limb is that the public interest must support continued prosecution. The prosecution case fails both limbs on its own materials.</w:t>
      </w:r>
    </w:p>
    <w:p>
      <w:pPr>
        <w:spacing w:after="120"/>
      </w:pPr>
      <w:r>
        <w:t xml:space="preserve">The reasonable-prospect limb fails because the prosecution's own evidence, on its face, defeats the charges. The QP9 narrative records the defendant's claim of right; the prosecution's own exhibit list contains the lease and the Form 13; the pleaded conditions of the order show that condition 2 had expired and condition 1 was incapable of contravention in the aggrieved's interstate absence. The public-interest limb fails because the matters identified in this document — the missing Phillips page, the seven-month silence in response to a solicitor's disclosure list, the unauthorised re-issue of the QP9, the contradictory police statements, the bad-character exhibits flagged as improper but retained — do not engage any public interest in continued prosecution but rather an opposite public interest in the orderly administration of criminal justice and respect for the rules that govern it.</w:t>
      </w:r>
    </w:p>
    <w:p>
      <w:r>
        <w:br w:type="page"/>
      </w:r>
    </w:p>
    <w:p>
      <w:pPr>
        <w:pStyle w:val="Heading1"/>
        <w:spacing w:after="160" w:before="320"/>
      </w:pPr>
      <w:r>
        <w:rPr>
          <w:b/>
          <w:bCs/>
          <w:color w:val="1F3864"/>
          <w:sz w:val="32"/>
          <w:szCs w:val="32"/>
        </w:rPr>
        <w:t xml:space="preserve">5. Recommended Next Steps</w:t>
      </w:r>
    </w:p>
    <w:p>
      <w:pPr>
        <w:spacing w:after="120"/>
      </w:pPr>
      <w:r>
        <w:t xml:space="preserve">The procedural sequence the defence should now pursue, in order, is as follows.</w:t>
      </w:r>
    </w:p>
    <w:p>
      <w:pPr>
        <w:pStyle w:val="Heading3"/>
        <w:spacing w:after="100" w:before="180"/>
      </w:pPr>
      <w:r>
        <w:rPr>
          <w:b/>
          <w:bCs/>
          <w:color w:val="404040"/>
          <w:sz w:val="22"/>
          <w:szCs w:val="22"/>
        </w:rPr>
        <w:t xml:space="preserve">5.1  Comprehensive Disclosure Demand to Prosecutor Beck</w:t>
      </w:r>
    </w:p>
    <w:p>
      <w:pPr>
        <w:spacing w:after="120"/>
      </w:pPr>
      <w:r>
        <w:t xml:space="preserve">A written disclosure demand should be made to Casey Beck within seven days, annexing the Ware letter of 25 September 2025 and the present analysis, and giving a 14-day deadline for production of every outstanding item identified in section 3 above. The demand should put on the record that the prosecution has been on documentary notice of every disclosure deficiency since 25 September 2025; that 222 days have elapsed without action; that the Phillips statement page 3 must be produced or the statement should not be tendered; and that the failure to interview Dennis and Balsley fourteen months on is an investigative omission for which the prosecution must now account.</w:t>
      </w:r>
    </w:p>
    <w:p>
      <w:pPr>
        <w:pStyle w:val="Heading3"/>
        <w:spacing w:after="100" w:before="180"/>
      </w:pPr>
      <w:r>
        <w:rPr>
          <w:b/>
          <w:bCs/>
          <w:color w:val="404040"/>
          <w:sz w:val="22"/>
          <w:szCs w:val="22"/>
        </w:rPr>
        <w:t xml:space="preserve">5.2  Section 48 Justices Act Notice</w:t>
      </w:r>
    </w:p>
    <w:p>
      <w:pPr>
        <w:spacing w:after="120"/>
      </w:pPr>
      <w:r>
        <w:t xml:space="preserve">The same written communication should put on the record that the QP9 v2 served on 29 April 2026 contains material amendments to the particulars as pleaded in QP9 v1; that those amendments are subject to section 48 of the Justices Act 1886 (Qld); that no application has been made for leave to amend; and that the defence reserves its position to object at any contested hearing to the prosecution leading evidence on the amended particulars and, in the alternative, to oppose any belated section 48 application on the ground of prejudice.</w:t>
      </w:r>
    </w:p>
    <w:p>
      <w:pPr>
        <w:pStyle w:val="Heading3"/>
        <w:spacing w:after="100" w:before="180"/>
      </w:pPr>
      <w:r>
        <w:rPr>
          <w:b/>
          <w:bCs/>
          <w:color w:val="404040"/>
          <w:sz w:val="22"/>
          <w:szCs w:val="22"/>
        </w:rPr>
        <w:t xml:space="preserve">5.3  If Disclosure Is Not Produced — Court Application</w:t>
      </w:r>
    </w:p>
    <w:p>
      <w:pPr>
        <w:spacing w:after="120"/>
      </w:pPr>
      <w:r>
        <w:t xml:space="preserve">If production is not made within the 14-day period, the defence should file an application in the Southport Magistrates Court for orders for disclosure under the inherent supervisory jurisdiction of the court, supported by an affidavit annexing the Ware letter, the metadata extractions, and the present analysis. The application should seek production of every outstanding item; in the alternative, an order excluding the evidence the prosecution has not produced; and costs.</w:t>
      </w:r>
    </w:p>
    <w:p>
      <w:pPr>
        <w:pStyle w:val="Heading3"/>
        <w:spacing w:after="100" w:before="180"/>
      </w:pPr>
      <w:r>
        <w:rPr>
          <w:b/>
          <w:bCs/>
          <w:color w:val="404040"/>
          <w:sz w:val="22"/>
          <w:szCs w:val="22"/>
        </w:rPr>
        <w:t xml:space="preserve">5.4  If Disclosure Is Not Produced After Court Application — Abuse of Process</w:t>
      </w:r>
    </w:p>
    <w:p>
      <w:pPr>
        <w:spacing w:after="120"/>
      </w:pPr>
      <w:r>
        <w:t xml:space="preserve">If continuing non-compliance is established after a court order has been made, the defence should file an abuse-of-process application seeking either a permanent stay under Walton v Gardiner or, in the alternative, the exclusion of evidence on which the prosecution would otherwise lead under Bunning v Cross. The application should be supported by the documentary record assembled in this document, with particular reference to the seven-month silence in response to Ware's letter, the unauthorised re-issue of the QP9 in Iteration 3, and the continued reliance on bad-character exhibits identified as improper.</w:t>
      </w:r>
    </w:p>
    <w:p>
      <w:pPr>
        <w:pStyle w:val="Heading3"/>
        <w:spacing w:after="100" w:before="180"/>
      </w:pPr>
      <w:r>
        <w:rPr>
          <w:b/>
          <w:bCs/>
          <w:color w:val="404040"/>
          <w:sz w:val="22"/>
          <w:szCs w:val="22"/>
        </w:rPr>
        <w:t xml:space="preserve">5.5  Reserve Steps</w:t>
      </w:r>
    </w:p>
    <w:p>
      <w:pPr>
        <w:spacing w:after="120"/>
      </w:pPr>
      <w:r>
        <w:t xml:space="preserve">Two further steps remain in reserve. The first is a complaint to the Legal Services Commissioner against Casey Beck personally, on the basis of the Australian Solicitors' Conduct Rules (in particular Rule 19, the duty not to mislead the court). The second is a referral to the Crime and Corruption Commission, on the basis of the conduct disclosed and its engagement of section 87 of the Criminal Code Act 1899 (Qld) (misconduct in public office). Both reserve steps should be held until the procedural remedies have been exhausted; they are appropriate where the conduct has continued in the face of curial intervention and where the documentary record establishes a clear basis for asserting that the prosecution has acted in knowing disregard of its duties.</w:t>
      </w:r>
    </w:p>
    <w:p>
      <w:r>
        <w:br w:type="page"/>
      </w:r>
    </w:p>
    <w:p>
      <w:pPr>
        <w:pStyle w:val="Heading1"/>
        <w:spacing w:after="160" w:before="320"/>
      </w:pPr>
      <w:r>
        <w:rPr>
          <w:b/>
          <w:bCs/>
          <w:color w:val="1F3864"/>
          <w:sz w:val="32"/>
          <w:szCs w:val="32"/>
        </w:rPr>
        <w:t xml:space="preserve">Appendix — Document Production Information</w:t>
      </w:r>
    </w:p>
    <w:p>
      <w:pPr>
        <w:spacing w:after="120"/>
      </w:pPr>
      <w:r>
        <w:t xml:space="preserve">This document was prepared on Monday, 4 May 2026 by Cory Lea Shepherd as defendant in person, drawing on the comprehensive forensic metadata extraction across all 23 documents disclosed by the prosecution to date and on the Gmail correspondence trail with Nick Ware (Associate, Howden Saggers Lawyers, formerly of GTC Lawyers) covering the period from 12 August 2025 to the present. Supporting files (full metadata JSON dump, master timeline CSV, and Ware schedule CSV) are saved in the defendant's working directory and can be produced on request.</w:t>
      </w:r>
    </w:p>
    <w:p>
      <w:pPr>
        <w:spacing w:after="120"/>
      </w:pPr>
      <w:r>
        <w:t xml:space="preserve">This document is intended to be forwarded to Justin Sibley (Director, Sibley Lawyers, jsibley@sibleylawyers.com.au) as supporting material for his continuing correspondence with Prosecutor Beck and for any subsequent application to the Southport Magistrates Court. The document is editable in Microsoft Word and Google Docs.</w:t>
      </w:r>
    </w:p>
    <w:sectPr>
      <w:headerReference w:type="default" r:id="rId7"/>
      <w:footerReference w:type="default" r:id="rId8"/>
      <w:pgSz w:w="16838" w:h="11906" w:orient="landscape"/>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r>
      <w:rPr>
        <w:color w:val="808080"/>
        <w:sz w:val="16"/>
        <w:szCs w:val="16"/>
      </w:rPr>
      <w:t xml:space="preserve">    |    Prepared 4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Shepherd v QPS — CO2500030466 — Forensic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294"/>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Shepherd v QPS — Comprehensive Forensic Analysis</dc:title>
  <dc:creator>Cory Lea Shepherd (defendant in person)</dc:creator>
  <dc:description>Three-iteration disclosure comparison and Ware schedule</dc:description>
  <cp:lastModifiedBy>Un-named</cp:lastModifiedBy>
  <cp:revision>1</cp:revision>
  <dcterms:created xsi:type="dcterms:W3CDTF">2026-05-04T10:16:05.142Z</dcterms:created>
  <dcterms:modified xsi:type="dcterms:W3CDTF">2026-05-04T10:16:05.157Z</dcterms:modified>
</cp:coreProperties>
</file>

<file path=docProps/custom.xml><?xml version="1.0" encoding="utf-8"?>
<Properties xmlns="http://schemas.openxmlformats.org/officeDocument/2006/custom-properties" xmlns:vt="http://schemas.openxmlformats.org/officeDocument/2006/docPropsVTypes"/>
</file>