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 xml:space="preserve">The Appellant will give evidence that the console took in the order of 270 to 440 calls on an eight-hour shift, and that emergency codes were received and paged through it throughout the day (Stressor 3(h) below). That evidence is his own and is not admitted.</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"Please give me some space and stop with any further communication as I have had enough of it." [¶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(l) The special pandemic leave application, February 2024 - the sequence.</w:t>
      </w:r>
      <w:r>
        <w:t xml:space="preserve"> The review decision records that on 20 February 2024 the Appellant messaged the Switchboard Manager stating he had tested positive for COVID-19, and that she "requested that you send it to her so she could submit it in MyHR". [¶ 136]</w:t>
      </w:r>
    </w:p>
    <w:p>
      <w:pPr>
        <w:keepLines w:val="0"/>
      </w:pPr>
      <w:r>
        <w:t>The Respondent pleads that she asked him to submit a Special Pandemic Leave request via myHR himself and attach a statutory declaration or photo evidence of his test. [¶ 132] The myHR submissions report records the initiator of that Smart Leave Request as the Appellant. [¶¶ 140 to 141]</w:t>
      </w:r>
    </w:p>
    <w:p>
      <w:pPr>
        <w:keepLines w:val="0"/>
      </w:pPr>
      <w:r>
        <w:t>The Respondent does not allege that any other Switchboard employee was required to submit such a request personally through myHR in February 2024. [¶ 142] The leave request history for Process Reference 15480560 records the Appellant creating a draft at 11:24:48 on 20 February 2024 and submitting the request at 11:41:27 that morning. [¶¶ 114 to 115]</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The matters at (j), (k), (l), (m), (n) and (o) above, and at paragraph 3 below, are pleaded as part of the sequence of matters the Appellant raised and the responses he received. They are not relied upon as independent causative circumstances within Stressor 1.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review decision records the Manager asking the Appellant to send his material to her so she could submit it in myHR; the leave history records the Appellant creating the draft and submitting the request that morning. [¶¶ 114 to 115, 136]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 xml:space="preserve">(h) The emergency workload on those shifts.</w:t>
      </w:r>
      <w:r>
        <w:t xml:space="preserve"> 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keepLines w:val="0"/>
      </w:pPr>
      <w:r>
        <w:rPr>
          <w:b/>
        </w:rPr>
        <w:t xml:space="preserve">(h)(i) The register: not admitted, to be proved.</w:t>
      </w:r>
      <w:r>
        <w:t xml:space="preserve"> The matters in this sub-paragraph are taken from the document at Tab 31 to the notice to admit, the "2024 Emergency Code Register" (March 2024 sheet), and from the Appellant's own records. The Respondent did not admit paragraphs 228 to 231 of that notice. They are not relied upon as admissions. The Appellant will prove them at hearing by tendering the register, by the employer's spreadsheet referred to at [¶ 268], and by his own evidence as the operator.</w:t>
      </w:r>
    </w:p>
    <w:p>
      <w:pPr>
        <w:keepLines w:val="0"/>
      </w:pPr>
      <w:r>
        <w:t xml:space="preserve">On the Appellant's reading of that register, it records for 17 March 2024, the shift that ended at 23:00 [¶ 284], the following entries: 3:57 Code Grey, ED lounge; 5:19 MET call, Ward 5A bed 27; 7:48 Code Grey, ED corridor near short stay; 13:48 MET call, Ward 3B bed 2; 14:13 Code Grey, ED adult acute bed 15; 19:16 MET call, Ward 2H bed 7; 19:20 Code Blue, Ward 2H bed 7; 21:16 MET call, Ward 2Q bed 5. Eight entries in the day; three of them, including the Code Blue, in the evening of the shift ending at 23:00.</w:t>
      </w:r>
    </w:p>
    <w:p>
      <w:pPr>
        <w:keepLines w:val="0"/>
      </w:pPr>
      <w:r>
        <w:t xml:space="preserve">For 18 March 2024, the shift that began at 06:00 [¶ 284]: 8:48 Code Grey, QAS triage airlock; 9:20 MET call, Ward 6A bed 8; 11:31 MET call, Ward 3DR bed 14; 11:32 cancelled MET call, Ward 3DR bed 14; 11:35 Neonatal MET call, Theatre 2; 13:09 Neonatal MET call, Birth Suites 5; 14:38 MET call, Ward 3DR bed 11; 14:45 and 14:55 Code Grey, QAS triage; 19:15 and 19:34 Code Grey, ED QAS ramp. Eleven entries in the day; six between 06:00 and 14:00, including two neonatal MET calls.</w:t>
      </w:r>
    </w:p>
    <w:p>
      <w:pPr>
        <w:keepLines w:val="0"/>
      </w:pPr>
      <w:r>
        <w:t xml:space="preserve">For 19 March 2024, the day on which 7.60 hours of sick leave was taken [¶ 235]: 0:17 MET call, Ward MIU bed 21; 1:41 Code Grey, ED ambulatory care; 9:27 Paediatric MET call, Ward CIU bed 16; 10:28 simulation MET call, Ward 7C bed 3; 11:30 MET call, Ward 2I bed 20; 11:34 MET call, Ward 2I bed 20, annotated "CALLED VIA SWITRCHBOARD" [sic]; 12:36 MET call, Ward 2I bed 12; 13:42 MET call, Ward 3DR bed 11; 16:28 MET call, Ward 3DR bed 11, cancelled at 16:29; 16:48 Code Grey, ED mental health lounge; 17:23 MET call, Ward 3DR bed 11; 17:31 Code Grey, ED ambulatory care room 2; 18:45 MET call, Ward 5B bed 7; 21:28 Code Grey, ED mental health lounge; 22:25 Code Grey, ED QAS triage. Sixteen entries in the day; between 06:00 and 14:00, six, of which five were MET calls, one of them recorded as called through the Switchboard.</w:t>
      </w:r>
    </w:p>
    <w:p>
      <w:pPr>
        <w:keepLines w:val="0"/>
      </w:pPr>
      <w:r>
        <w:rPr>
          <w:b/>
        </w:rPr>
        <w:t xml:space="preserve">(h)(ii) What the codes are.</w:t>
      </w:r>
      <w:r>
        <w:t xml:space="preserve"> The role description requires the codes to be handled "as per emergency code procedures". [¶ 8] Those procedures are Logan Hospital documents; they are not in the Respondent's List of Documents and will be called for. Pending their production, the Appellant will give evidence, as the operator who activated them, that at Logan Hospital in March 2024: a Code Blue was the call for a medical emergency in which a patient had suffered or was about to suffer cardiac or respiratory arrest, requiring the immediate attendance of the resuscitation team; a MET call was the call for the Medical Emergency Team to attend a deteriorating patient meeting the hospital's escalation criteria, with Neonatal and Paediatric MET calls for newborn and child patients; a Code Grey was the call for a security response to threatening or aggressive behaviour; and a Code Black was the call for a security response to a personal threat. Each code was received at the Switchboard, categorised by the operator, and paged to the response group for that category within the timeframe fixed by the procedure. The Australian Standard on which hospital emergency codes are based, AS 4083, uses the same colour scheme.</w:t>
      </w:r>
    </w:p>
    <w:p>
      <w:pPr>
        <w:keepLines w:val="0"/>
      </w:pPr>
      <w:r>
        <w:rPr>
          <w:b/>
        </w:rPr>
        <w:t xml:space="preserve">(h)(iii) The ordinary call load, and the Monday.</w:t>
      </w:r>
      <w:r>
        <w:t xml:space="preserve"> The Appellant will give evidence, from his own monthly call statistics, that in the period of his graduated return in April 2025 he took between 269 and 444 calls on a single eight-hour shift, an average of about 360, and that the highest figure, 444, was on the one Monday afternoon shift in that sample (14 April 2025). He will give evidence that the Monday early shift is the peak of the week, because the weekend's backlog, the resumption of clinics and elective lists and the Monday admissions all arrive at the console together. The shift of 18 March 2024 was the Monday early shift, the first shift of the working week [¶ 227], and it followed a break of seven hours [¶ 284]. These matters are not admitted; they are the Appellant's own evidence and records, and will be proved by him.</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 xml:space="preserve">(l)(i) The employer's own fatigue guideline.</w:t>
      </w:r>
      <w:r>
        <w:t xml:space="preserve"> 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Lines w:val="0"/>
      </w:pPr>
      <w: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keepLines w:val="0"/>
      </w:pPr>
      <w: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keepLines w:val="0"/>
      </w:pPr>
      <w: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keepLines w:val="0"/>
      </w:pPr>
      <w: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keepLines w:val="0"/>
      </w:pPr>
      <w:r>
        <w:t xml:space="preserve">The guideline therefore treated the Award under which the Appellant was employed as a supporting document, treated every employee of a Hospital and Health Service as a worker to whom it applied, called for consultation with workers on fatigue hazards, called for training of rostering staff and managers, and had been preceded by a resource pack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keepLines w:val="0"/>
      </w:pPr>
      <w: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says no finding in Review Decision 69983 binds the Commission.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 xml:space="preserve">6.</w:t>
      </w:r>
      <w:r>
        <w:t xml:space="preserve"> 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120" w:after="60"/>
      </w:pPr>
      <w:r>
        <w:rPr>
          <w:rFonts w:ascii="Arial" w:hAnsi="Arial"/>
          <w:b/>
          <w:sz w:val="21"/>
        </w:rPr>
        <w:t xml:space="preserve">PART F - COSTS</w:t>
      </w:r>
    </w:p>
    <w:p>
      <w:pPr>
        <w:keepLines w:val="0"/>
      </w:pPr>
      <w:r>
        <w:rPr>
          <w:b/>
        </w:rPr>
        <w:t xml:space="preserve">1.</w:t>
      </w:r>
      <w:r>
        <w:t xml:space="preserve"> Costs of the hearing are in the Commission's discretion: section 558(3) of the Act; section 191(1) of the Workers' Compensation and Rehabilitation Regulation 2025. Costs ordinarily follow the event.</w:t>
      </w:r>
    </w:p>
    <w:p>
      <w:pPr>
        <w:keepLines w:val="0"/>
      </w:pPr>
      <w:r>
        <w:rPr>
          <w:b/>
        </w:rPr>
        <w:t xml:space="preserve">2.</w:t>
      </w:r>
      <w:r>
        <w:t xml:space="preserve"> 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keepLines w:val="0"/>
      </w:pPr>
      <w:r>
        <w:rPr>
          <w:b/>
        </w:rPr>
        <w:t xml:space="preserve">3.</w:t>
      </w:r>
      <w:r>
        <w:t xml:space="preserve"> The Appellant will contend that the amounts under section 191(2)(a) are inadequate and will seek an award of up to 1.5 times those amounts under section 191(3), in total or in relation to any item, having regard to: (a) the work involved, being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being an appeal concerning a psychological injury under section 32(5)(a) which requires the classification of each circumstance pleaded, a finding on the reasonableness of each that is management action, and the weighing of the whole.</w:t>
      </w:r>
    </w:p>
    <w:p>
      <w:pPr>
        <w:keepLines w:val="0"/>
      </w:pPr>
      <w:r>
        <w:rPr>
          <w:b/>
        </w:rPr>
        <w:t xml:space="preserve">4.</w:t>
      </w:r>
      <w:r>
        <w:t xml:space="preserve"> 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keepLines w:val="0"/>
      </w:pPr>
      <w:r>
        <w:rPr>
          <w:b/>
        </w:rPr>
        <w:t xml:space="preserve">5.</w:t>
      </w:r>
      <w:r>
        <w:t xml:space="preserve"> To the extent that the fees and expenses payable to a medical practitioner, or to any witness who gives evidence of a professional nature, exceed the costs awarded in relation to that witness, the Appellant will apply to the Respondent under section 192 of the Regulation for payment of an additional amount.</w:t>
      </w:r>
    </w:p>
    <w:p>
      <w:pPr>
        <w:keepLines w:val="0"/>
      </w:pPr>
      <w:r>
        <w:rPr>
          <w:b/>
        </w:rPr>
        <w:t xml:space="preserve">6.</w:t>
      </w:r>
      <w:r>
        <w:t xml:space="preserve"> The Appellant reserves the right to rely, on the question of costs, on any offer made without prejudice save as to costs.</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