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0" w:line="264"/>
        <w:jc w:val="left"/>
      </w:pPr>
      <w:r>
        <w:rPr>
          <w:rFonts w:ascii="Times New Roman" w:cs="Times New Roman" w:eastAsia="Times New Roman" w:hAnsi="Times New Roman"/>
          <w:sz w:val="22"/>
          <w:szCs w:val="22"/>
        </w:rPr>
        <w:t xml:space="preserve">22 October 2026</w:t>
      </w:r>
    </w:p>
    <w:p>
      <w:pPr>
        <w:keepNext w:val="false"/>
        <w:spacing w:after="0" w:before="0" w:line="264"/>
        <w:jc w:val="left"/>
      </w:pPr>
      <w:r>
        <w:rPr>
          <w:rFonts w:ascii="Times New Roman" w:cs="Times New Roman" w:eastAsia="Times New Roman" w:hAnsi="Times New Roman"/>
          <w:sz w:val="22"/>
          <w:szCs w:val="22"/>
        </w:rPr>
        <w:t xml:space="preserve">Ms Renee Matheson</w:t>
      </w:r>
    </w:p>
    <w:p>
      <w:pPr>
        <w:keepNext w:val="false"/>
        <w:spacing w:after="0" w:before="0" w:line="264"/>
        <w:jc w:val="left"/>
      </w:pPr>
      <w:r>
        <w:rPr>
          <w:rFonts w:ascii="Times New Roman" w:cs="Times New Roman" w:eastAsia="Times New Roman" w:hAnsi="Times New Roman"/>
          <w:sz w:val="22"/>
          <w:szCs w:val="22"/>
        </w:rPr>
        <w:t xml:space="preserve">Senior Appeals Officer</w:t>
      </w:r>
    </w:p>
    <w:p>
      <w:pPr>
        <w:keepNext w:val="false"/>
        <w:spacing w:after="0" w:before="0" w:line="264"/>
        <w:jc w:val="left"/>
      </w:pPr>
      <w:r>
        <w:rPr>
          <w:rFonts w:ascii="Times New Roman" w:cs="Times New Roman" w:eastAsia="Times New Roman" w:hAnsi="Times New Roman"/>
          <w:sz w:val="22"/>
          <w:szCs w:val="22"/>
        </w:rPr>
        <w:t xml:space="preserve">Workers' Compensation Regulatory Services</w:t>
      </w:r>
    </w:p>
    <w:p>
      <w:pPr>
        <w:keepNext w:val="false"/>
        <w:spacing w:after="0" w:before="0" w:line="264"/>
        <w:jc w:val="left"/>
      </w:pPr>
      <w:r>
        <w:rPr>
          <w:rFonts w:ascii="Times New Roman" w:cs="Times New Roman" w:eastAsia="Times New Roman" w:hAnsi="Times New Roman"/>
          <w:sz w:val="22"/>
          <w:szCs w:val="22"/>
        </w:rPr>
        <w:t xml:space="preserve">Office of Industrial Relations</w:t>
      </w:r>
    </w:p>
    <w:p>
      <w:pPr>
        <w:keepNext w:val="false"/>
        <w:spacing w:after="80" w:before="0" w:line="264"/>
        <w:jc w:val="left"/>
      </w:pPr>
      <w:r>
        <w:rPr>
          <w:rFonts w:ascii="Times New Roman" w:cs="Times New Roman" w:eastAsia="Times New Roman" w:hAnsi="Times New Roman"/>
          <w:sz w:val="22"/>
          <w:szCs w:val="22"/>
        </w:rPr>
        <w:t xml:space="preserve">Renee.Matheson@oir.qld.gov.au</w:t>
      </w:r>
    </w:p>
    <w:p>
      <w:pPr>
        <w:keepNext w:val="false"/>
        <w:spacing w:after="0" w:before="0" w:line="264"/>
        <w:jc w:val="left"/>
      </w:pPr>
    </w:p>
    <w:p>
      <w:pPr>
        <w:keepNext w:val="false"/>
        <w:spacing w:after="80" w:before="0" w:line="264"/>
        <w:jc w:val="left"/>
      </w:pPr>
      <w:r>
        <w:rPr>
          <w:rFonts w:ascii="Times New Roman" w:cs="Times New Roman" w:eastAsia="Times New Roman" w:hAnsi="Times New Roman"/>
          <w:b/>
          <w:bCs/>
          <w:i w:val="false"/>
          <w:iCs w:val="false"/>
          <w:sz w:val="22"/>
          <w:szCs w:val="22"/>
        </w:rPr>
        <w:t xml:space="preserve">WC/2024/227 - Cory Lea Shepherd v Workers' Compensation Regulator</w:t>
      </w:r>
    </w:p>
    <w:p>
      <w:pPr>
        <w:keepNext w:val="false"/>
        <w:spacing w:after="120" w:before="0" w:line="264"/>
        <w:jc w:val="both"/>
      </w:pPr>
      <w:r>
        <w:rPr>
          <w:rFonts w:ascii="Times New Roman" w:cs="Times New Roman" w:eastAsia="Times New Roman" w:hAnsi="Times New Roman"/>
          <w:b/>
          <w:bCs/>
          <w:i w:val="false"/>
          <w:iCs w:val="false"/>
          <w:sz w:val="22"/>
          <w:szCs w:val="22"/>
        </w:rPr>
        <w:t xml:space="preserve">Matters that may be agreed before the section 552A conference; the Schedule of 1 October 2026, updated</w:t>
      </w:r>
    </w:p>
    <w:p>
      <w:pPr>
        <w:keepNext w:val="false"/>
        <w:spacing w:after="80" w:before="0" w:line="264"/>
        <w:jc w:val="both"/>
      </w:pPr>
      <w:r>
        <w:rPr>
          <w:rFonts w:ascii="Times New Roman" w:cs="Times New Roman" w:eastAsia="Times New Roman" w:hAnsi="Times New Roman"/>
          <w:sz w:val="22"/>
          <w:szCs w:val="22"/>
        </w:rPr>
        <w:t xml:space="preserve">Dear Ms Matheson,</w:t>
      </w:r>
    </w:p>
    <w:p>
      <w:pPr>
        <w:keepNext w:val="false"/>
        <w:spacing w:after="80" w:before="0" w:line="264"/>
        <w:jc w:val="both"/>
      </w:pPr>
      <w:r>
        <w:rPr>
          <w:rFonts w:ascii="Times New Roman" w:cs="Times New Roman" w:eastAsia="Times New Roman" w:hAnsi="Times New Roman"/>
          <w:sz w:val="22"/>
          <w:szCs w:val="22"/>
        </w:rPr>
        <w:t xml:space="preserve">Thank you for your emails of 12 and 16 October 2026 confirming the veracity of the documents at Tabs 1, 5, 17 to 19, 21 to 23 and 31 of Annexure A and of the documents at Tab 32, and for your email of 19 October 2026 with counsel's availability for the conference.</w:t>
      </w:r>
    </w:p>
    <w:p>
      <w:pPr>
        <w:keepNext w:val="false"/>
        <w:spacing w:after="80" w:before="0" w:line="264"/>
        <w:jc w:val="both"/>
      </w:pPr>
      <w:r>
        <w:rPr>
          <w:rFonts w:ascii="Times New Roman" w:cs="Times New Roman" w:eastAsia="Times New Roman" w:hAnsi="Times New Roman"/>
          <w:b/>
          <w:bCs/>
          <w:i w:val="false"/>
          <w:iCs w:val="false"/>
          <w:sz w:val="22"/>
          <w:szCs w:val="22"/>
        </w:rPr>
        <w:t xml:space="preserve">The documents.</w:t>
      </w:r>
      <w:r>
        <w:rPr>
          <w:rFonts w:ascii="Times New Roman" w:cs="Times New Roman" w:eastAsia="Times New Roman" w:hAnsi="Times New Roman"/>
          <w:sz w:val="22"/>
          <w:szCs w:val="22"/>
        </w:rPr>
        <w:t xml:space="preserve"> With those confirmations, 38 of the 39 documents at Annexure A to the notices to admit served on 28 August 2026 are admitted or confirmed; Tab 24 is the only one outstanding. The Schedule to my letter of 1 October 2026 is enclosed, updated to 22 October 2026. Part 1 shows the position of each document, and two short tables follow it: the documents at Tab 32, and the entries in the spreadsheet you provided on 12 October 2026 that facts 228 to 231 record. Parts 2 and 3 are unchanged.</w:t>
      </w:r>
    </w:p>
    <w:p>
      <w:pPr>
        <w:keepNext w:val="false"/>
        <w:spacing w:after="80" w:before="0" w:line="264"/>
        <w:jc w:val="both"/>
      </w:pPr>
      <w:r>
        <w:rPr>
          <w:rFonts w:ascii="Times New Roman" w:cs="Times New Roman" w:eastAsia="Times New Roman" w:hAnsi="Times New Roman"/>
          <w:b/>
          <w:bCs/>
          <w:i w:val="false"/>
          <w:iCs w:val="false"/>
          <w:sz w:val="22"/>
          <w:szCs w:val="22"/>
        </w:rPr>
        <w:t xml:space="preserve">Matters that may be agreed.</w:t>
      </w:r>
      <w:r>
        <w:rPr>
          <w:rFonts w:ascii="Times New Roman" w:cs="Times New Roman" w:eastAsia="Times New Roman" w:hAnsi="Times New Roman"/>
          <w:sz w:val="22"/>
          <w:szCs w:val="22"/>
        </w:rPr>
        <w:t xml:space="preserve"> So that the conference can be used efficiently, and without delaying it, could the Respondent please indicate its position on the following matters by 4.00 pm on Friday 30 October 2026? Any matter that is agreed can then simply be noted at the conference.</w:t>
      </w:r>
    </w:p>
    <w:p>
      <w:pPr>
        <w:keepNext w:val="false"/>
        <w:spacing w:after="80" w:before="0" w:line="264"/>
        <w:jc w:val="both"/>
      </w:pPr>
      <w:r>
        <w:rPr>
          <w:rFonts w:ascii="Times New Roman" w:cs="Times New Roman" w:eastAsia="Times New Roman" w:hAnsi="Times New Roman"/>
          <w:b/>
          <w:bCs/>
          <w:i w:val="false"/>
          <w:iCs w:val="false"/>
          <w:sz w:val="22"/>
          <w:szCs w:val="22"/>
        </w:rPr>
        <w:t xml:space="preserve">1. Facts 228 to 231.</w:t>
      </w:r>
      <w:r>
        <w:rPr>
          <w:rFonts w:ascii="Times New Roman" w:cs="Times New Roman" w:eastAsia="Times New Roman" w:hAnsi="Times New Roman"/>
          <w:sz w:val="22"/>
          <w:szCs w:val="22"/>
        </w:rPr>
        <w:t xml:space="preserve"> These facts record entries in the Emergency Code Register for 17, 18 and 19 March 2024 and were not admitted on 8 September 2026. Each of them records entries in the spreadsheet "2024 Emergency Code Register_16 to 20 March 2024.xlsx" that you provided on 12 October 2026 and whose veracity the Respondent has confirmed; the table after Part 1 of the Schedule identifies those entries by row. Now that the spreadsheet is confirmed, does the Respondent admit facts 228 to 231?</w:t>
      </w:r>
    </w:p>
    <w:p>
      <w:pPr>
        <w:keepNext w:val="false"/>
        <w:spacing w:after="80" w:before="0" w:line="264"/>
        <w:jc w:val="both"/>
      </w:pPr>
      <w:r>
        <w:rPr>
          <w:rFonts w:ascii="Times New Roman" w:cs="Times New Roman" w:eastAsia="Times New Roman" w:hAnsi="Times New Roman"/>
          <w:b/>
          <w:bCs/>
          <w:i w:val="false"/>
          <w:iCs w:val="false"/>
          <w:sz w:val="22"/>
          <w:szCs w:val="22"/>
        </w:rPr>
        <w:t xml:space="preserve">2. Tender.</w:t>
      </w:r>
      <w:r>
        <w:rPr>
          <w:rFonts w:ascii="Times New Roman" w:cs="Times New Roman" w:eastAsia="Times New Roman" w:hAnsi="Times New Roman"/>
          <w:sz w:val="22"/>
          <w:szCs w:val="22"/>
        </w:rPr>
        <w:t xml:space="preserve"> Does the Respondent agree that the 38 documents at Annexure A that are admitted or confirmed, and the document at Tab 32A, may be tendered at any hearing without further proof, either in the form at Annexure A or, for the nine documents you provided on 12 October 2026, in that form? Could the Respondent also say whether it maintains its dispute as to the authenticity of the copy at Tab 24 and, if it does, on what ground?</w:t>
      </w:r>
    </w:p>
    <w:p>
      <w:pPr>
        <w:keepNext w:val="false"/>
        <w:spacing w:after="80" w:before="0" w:line="264"/>
        <w:jc w:val="both"/>
      </w:pPr>
      <w:r>
        <w:rPr>
          <w:rFonts w:ascii="Times New Roman" w:cs="Times New Roman" w:eastAsia="Times New Roman" w:hAnsi="Times New Roman"/>
          <w:b/>
          <w:bCs/>
          <w:i w:val="false"/>
          <w:iCs w:val="false"/>
          <w:sz w:val="22"/>
          <w:szCs w:val="22"/>
        </w:rPr>
        <w:t xml:space="preserve">3. Relevance and admissibility.</w:t>
      </w:r>
      <w:r>
        <w:rPr>
          <w:rFonts w:ascii="Times New Roman" w:cs="Times New Roman" w:eastAsia="Times New Roman" w:hAnsi="Times New Roman"/>
          <w:sz w:val="22"/>
          <w:szCs w:val="22"/>
        </w:rPr>
        <w:t xml:space="preserve"> Your letter of 8 September 2026 and your email of 16 October 2026 reserve the right to object to the relevance or admissibility of any fact or document at the hearing. So that any such objection can be identified at the conference rather than at the hearing, could the Respondent please identify any admitted fact, and any document at Annexure A or Tab 32A, whose relevance or admissibility it intends to dispute, and the ground?</w:t>
      </w:r>
    </w:p>
    <w:p>
      <w:pPr>
        <w:keepNext w:val="false"/>
        <w:spacing w:after="80" w:before="0" w:line="264"/>
        <w:jc w:val="both"/>
      </w:pPr>
      <w:r>
        <w:rPr>
          <w:rFonts w:ascii="Times New Roman" w:cs="Times New Roman" w:eastAsia="Times New Roman" w:hAnsi="Times New Roman"/>
          <w:sz w:val="22"/>
          <w:szCs w:val="22"/>
        </w:rPr>
        <w:t xml:space="preserve">As the proposed Second Amended Form 9A states (Part C, paragraph 8), the admissions are relied on as evidence that the documents admitted exist and of what they say, and as evidence of what the Respondent's statement of facts and contentions and List of Documents do not contain; the Appellant does not contend that any admission decides whether any conduct was reasonable. Agreeing to tender, or confirming that no objection is taken to relevance or admissibility, would not require the Respondent to accept the truth of any statement in a document. The weight of each document, and whether any conduct was reasonable management action taken in a reasonable way, remain matters for the Commission.</w:t>
      </w:r>
    </w:p>
    <w:p>
      <w:pPr>
        <w:keepNext w:val="false"/>
        <w:spacing w:after="80" w:before="0" w:line="264"/>
        <w:jc w:val="both"/>
      </w:pPr>
      <w:r>
        <w:rPr>
          <w:rFonts w:ascii="Times New Roman" w:cs="Times New Roman" w:eastAsia="Times New Roman" w:hAnsi="Times New Roman"/>
          <w:b/>
          <w:bCs/>
          <w:i w:val="false"/>
          <w:iCs w:val="false"/>
          <w:sz w:val="22"/>
          <w:szCs w:val="22"/>
        </w:rPr>
        <w:t xml:space="preserve">4. Section 32(1).</w:t>
      </w:r>
      <w:r>
        <w:rPr>
          <w:rFonts w:ascii="Times New Roman" w:cs="Times New Roman" w:eastAsia="Times New Roman" w:hAnsi="Times New Roman"/>
          <w:sz w:val="22"/>
          <w:szCs w:val="22"/>
        </w:rPr>
        <w:t xml:space="preserve"> Review Decision 69983 states, under the heading "Conclusion", that the Appellant "sustained a personal injury of a psychological nature" and that the "injury arose out of employment, to the extent that it arose out of factors 2, 3 and 4, where employment was a significant contributing factor" (facts 261 and 262, admitted); the claim was rejected under section 32(5) of the Act. Does the Respondent agree that, to that extent, the elements of section 32(1) are not in issue, so that the issue for any hearing is confined to section 32(5)?</w:t>
      </w:r>
    </w:p>
    <w:p>
      <w:pPr>
        <w:keepNext w:val="false"/>
        <w:spacing w:after="80" w:before="0" w:line="264"/>
        <w:jc w:val="both"/>
      </w:pPr>
      <w:r>
        <w:rPr>
          <w:rFonts w:ascii="Times New Roman" w:cs="Times New Roman" w:eastAsia="Times New Roman" w:hAnsi="Times New Roman"/>
          <w:b/>
          <w:bCs/>
          <w:i w:val="false"/>
          <w:iCs w:val="false"/>
          <w:sz w:val="22"/>
          <w:szCs w:val="22"/>
        </w:rPr>
        <w:t xml:space="preserve">5. Leave.</w:t>
      </w:r>
      <w:r>
        <w:rPr>
          <w:rFonts w:ascii="Times New Roman" w:cs="Times New Roman" w:eastAsia="Times New Roman" w:hAnsi="Times New Roman"/>
          <w:sz w:val="22"/>
          <w:szCs w:val="22"/>
        </w:rPr>
        <w:t xml:space="preserve"> Does the Respondent consent to leave to file the proposed Second Amended Statement of Facts and Contentions provided on 1 October 2026? If it intends to amend its own statement of facts and contentions in response, how much time does it seek? I intend to provide, before the conference, a corrected version of the proposed statement with a one-page list of the changes; the corrections add no new stressor or allegation.</w:t>
      </w:r>
    </w:p>
    <w:p>
      <w:pPr>
        <w:keepNext w:val="false"/>
        <w:spacing w:after="80" w:before="0" w:line="264"/>
        <w:jc w:val="both"/>
      </w:pPr>
      <w:r>
        <w:rPr>
          <w:rFonts w:ascii="Times New Roman" w:cs="Times New Roman" w:eastAsia="Times New Roman" w:hAnsi="Times New Roman"/>
          <w:b/>
          <w:bCs/>
          <w:i w:val="false"/>
          <w:iCs w:val="false"/>
          <w:sz w:val="22"/>
          <w:szCs w:val="22"/>
        </w:rPr>
        <w:t xml:space="preserve">6. Paragraph 27.</w:t>
      </w:r>
      <w:r>
        <w:rPr>
          <w:rFonts w:ascii="Times New Roman" w:cs="Times New Roman" w:eastAsia="Times New Roman" w:hAnsi="Times New Roman"/>
          <w:sz w:val="22"/>
          <w:szCs w:val="22"/>
        </w:rPr>
        <w:t xml:space="preserve"> At the conference I will ask which management action the Respondent relies on for the contention in paragraph 27 of its amended statement of facts and contentions (fact 303), so that the issues for any hearing can be identified.</w:t>
      </w:r>
    </w:p>
    <w:p>
      <w:pPr>
        <w:keepNext w:val="false"/>
        <w:spacing w:after="80" w:before="0" w:line="264"/>
        <w:jc w:val="both"/>
      </w:pPr>
      <w:r>
        <w:rPr>
          <w:rFonts w:ascii="Times New Roman" w:cs="Times New Roman" w:eastAsia="Times New Roman" w:hAnsi="Times New Roman"/>
          <w:sz w:val="22"/>
          <w:szCs w:val="22"/>
        </w:rPr>
        <w:t xml:space="preserve">To the extent these matters are not agreed, I will ask the Commission at the conference to deal with them and, if necessary, to make directions or to list the matter for mention.</w:t>
      </w:r>
    </w:p>
    <w:p>
      <w:pPr>
        <w:keepNext/>
        <w:spacing w:after="0" w:before="0" w:line="264"/>
        <w:jc w:val="both"/>
      </w:pPr>
      <w:r>
        <w:rPr>
          <w:rFonts w:ascii="Times New Roman" w:cs="Times New Roman" w:eastAsia="Times New Roman" w:hAnsi="Times New Roman"/>
          <w:sz w:val="22"/>
          <w:szCs w:val="22"/>
        </w:rPr>
        <w:t xml:space="preserve">Yours sincerely,</w:t>
      </w:r>
    </w:p>
    <w:p>
      <w:pPr>
        <w:spacing w:after="0" w:before="120"/>
      </w:pPr>
      <w:r>
        <w:drawing>
          <wp:inline distT="0" distB="0" distL="0" distR="0">
            <wp:extent cx="16192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847725"/>
                    </a:xfrm>
                    <a:prstGeom prst="rect">
                      <a:avLst/>
                    </a:prstGeom>
                  </pic:spPr>
                </pic:pic>
              </a:graphicData>
            </a:graphic>
          </wp:inline>
        </w:drawing>
      </w:r>
    </w:p>
    <w:p>
      <w:pPr>
        <w:keepNext w:val="false"/>
        <w:spacing w:after="200" w:before="0" w:line="264"/>
        <w:jc w:val="left"/>
      </w:pPr>
      <w:r>
        <w:rPr>
          <w:rFonts w:ascii="Times New Roman" w:cs="Times New Roman" w:eastAsia="Times New Roman" w:hAnsi="Times New Roman"/>
          <w:b/>
          <w:bCs/>
          <w:i w:val="false"/>
          <w:iCs w:val="false"/>
          <w:sz w:val="22"/>
          <w:szCs w:val="22"/>
        </w:rPr>
        <w:t xml:space="preserve">Cory Lea Shepherd, Appellant (self-represented)</w:t>
      </w:r>
    </w:p>
    <w:p>
      <w:pPr>
        <w:keepNext w:val="false"/>
        <w:spacing w:after="80" w:before="0" w:line="264"/>
        <w:jc w:val="left"/>
      </w:pPr>
      <w:r>
        <w:rPr>
          <w:rFonts w:ascii="Times New Roman" w:cs="Times New Roman" w:eastAsia="Times New Roman" w:hAnsi="Times New Roman"/>
          <w:sz w:val="22"/>
          <w:szCs w:val="22"/>
        </w:rPr>
        <w:t xml:space="preserve">Enclosure: Schedule to the Appellant's letter of 1 October 2026, updated to 22 October 2026 (Parts 1 to 3).</w:t>
      </w:r>
    </w:p>
    <w:p>
      <w:pPr>
        <w:keepNext/>
        <w:pageBreakBefore/>
        <w:spacing w:after="80" w:before="0" w:line="264"/>
        <w:jc w:val="both"/>
      </w:pPr>
      <w:r>
        <w:rPr>
          <w:rFonts w:ascii="Times New Roman" w:cs="Times New Roman" w:eastAsia="Times New Roman" w:hAnsi="Times New Roman"/>
          <w:b/>
          <w:bCs/>
          <w:i w:val="false"/>
          <w:iCs w:val="false"/>
          <w:sz w:val="22"/>
          <w:szCs w:val="22"/>
        </w:rPr>
        <w:t xml:space="preserve">WC/2024/227 - Schedule to the Appellant's letter of 1 October 2026, updated to 22 October 2026</w:t>
      </w:r>
    </w:p>
    <w:p>
      <w:pPr>
        <w:keepNext w:val="false"/>
        <w:spacing w:after="120" w:before="0" w:line="264"/>
        <w:jc w:val="both"/>
      </w:pPr>
      <w:r>
        <w:rPr>
          <w:rFonts w:ascii="Times New Roman" w:cs="Times New Roman" w:eastAsia="Times New Roman" w:hAnsi="Times New Roman"/>
          <w:sz w:val="22"/>
          <w:szCs w:val="22"/>
        </w:rPr>
        <w:t xml:space="preserve">The schedule is reproduced as provided on 1 October 2026. Only Part 1 is updated: its introduction, the new column "12 Oct 2026", the column "Position now" and the note after the table; two tables are added after it, for the documents at Tab 32 and for facts 228 to 231. Parts 2 and 3 are unchanged.</w:t>
      </w:r>
    </w:p>
    <w:p>
      <w:pPr>
        <w:keepNext/>
        <w:spacing w:after="120" w:before="0" w:line="264"/>
        <w:jc w:val="both"/>
      </w:pPr>
      <w:r>
        <w:rPr>
          <w:rFonts w:ascii="Times New Roman" w:cs="Times New Roman" w:eastAsia="Times New Roman" w:hAnsi="Times New Roman"/>
          <w:b/>
          <w:bCs/>
          <w:i w:val="false"/>
          <w:iCs w:val="false"/>
          <w:sz w:val="22"/>
          <w:szCs w:val="22"/>
        </w:rPr>
        <w:t xml:space="preserve">Schedule, Part 1: the 39 documents at Annexure A (notices to admit served 28 August 2026) and their status</w:t>
      </w:r>
    </w:p>
    <w:p>
      <w:pPr>
        <w:keepNext w:val="false"/>
        <w:spacing w:after="120" w:before="0" w:line="264"/>
        <w:jc w:val="both"/>
      </w:pPr>
      <w:r>
        <w:rPr>
          <w:rFonts w:ascii="Times New Roman" w:cs="Times New Roman" w:eastAsia="Times New Roman" w:hAnsi="Times New Roman"/>
          <w:sz w:val="22"/>
          <w:szCs w:val="22"/>
        </w:rPr>
        <w:t xml:space="preserve">The 39 documents at Annexure A to the notices to admit served 28 August 2026 are the documents from which the facts in Part B of the proposed Second Amended Form 9A are drawn. On 8 September 2026 the Respondent admitted the authenticity of 25 of them and disputed 14. By email of 24 September 2026 it confirmed four of the 14 "upon further review of the appeal file", stated that it had "requested copies of these documents to be disclosed from MSH" for nine others, and did not mention the fourteenth. By email of 12 October 2026 it provided disclosure copies of those nine documents, Tab 31 as the spreadsheet "2024 Emergency Code Register_16 to 20 March 2024.xlsx", and stated: "The regulator confirms the veracity of the attached documents." Thirty-eight of the 39 documents are therefore admitted or confirmed; the fourteenth, Tab 24, has not been addressed. The facts recorded in 13 of the 14 were admitted on 8 September 2026 to the extent set out in Part B; the exception is the register at Tab 31, from which facts 228 to 231 were not admitted. The table after Part 1 identifies, by row of that spreadsheet, the entries that facts 228 to 231 record.</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60"/>
        <w:gridCol w:w="2400"/>
        <w:gridCol w:w="1200"/>
        <w:gridCol w:w="1000"/>
        <w:gridCol w:w="1560"/>
        <w:gridCol w:w="1440"/>
        <w:gridCol w:w="1478"/>
      </w:tblGrid>
      <w:tr>
        <w:trPr>
          <w:cantSplit/>
          <w:tblHeader/>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Tab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Document</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Date</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8 Sep 2026</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24 Sep 2026</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12 Oct 2026</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Position now</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Stibbard to the Switchboard team, "Hello &amp; Update"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Jul 2023, 12:56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to Reese, "Fwd: Communication Book Update", with her email to Logan Switch of 9:57 am that day</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6 Jun 2023, 4:05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"Increase of hours and Workplace issues" chain and Reese's replies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7-10 Aug 2023</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Reese attaching HR Policy E12; emails of 4 and 8 Sep 2023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29 Aug-8 Sep 2023</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4</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"Request to Increase Working Hours to Full Time Rotational Roster"; emails of 7 Aug 2023 1:43 pm and 5:11 pm</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and 31 Aug 2023</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Concerns" chain</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26 Apr-8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Reese to Pritchard "FW: Roster Concerns"; Reese to LBH_HR attaching qh-gdl-401-3.3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 and 20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Cover page, Fatigue risk management systems implementation guideline QH-GDL-401-3.3:2021</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2021</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MASPER emails (Taylor to Kwok and Wong; "MASPER process") and issue logs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 May 2024 (logs 2-8 May)</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8C</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Stibbard, "Switchboard After Hours On Call Manager PP24"</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 May 2024, 4:29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"Switchboard Manager - On call and Hours."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 May 2024, 9:30 am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"Office Hours and Departmental Directives" chain (1:15 pm, 6:23 pm, 7:09 pm)</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Reese, "RE: Office Hours and Departmental Directives"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 May 2024, 2:53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"Sick leave 14.05.24", and its forwarding to Reese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14-15 May 2024 (first email 14 May, 12:08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Marriott (Integrated Respiratory Service) to Logan Switch; the Appellant to Taylor; Taylor's reply</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and 20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12</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"Corey Shepherd 388372 Pay issues" thread</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3-13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Same thread, Taylor to the Appellant</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 May 2024, 12:33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14</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"Validation of Claims older than 3 months - Please sign"</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 May 2024, 8:36 am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myHR submissions report (MSH Item 11)</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 Feb-31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16</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QH Leave Takings Report (MSH Item 15)</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 Mar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25</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Review Decision 69983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24 Oct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26</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Appellant's first notice to admit facts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before 18 Feb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27</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Respondent's response to that notice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Feb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myHR leave request history, Process Reference 15480560 (MSH Item 11)</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Feb-1 Mar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29</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Instrument of Human Resource Sub-Delegation, Paid Special Pandemic Leave (MSH Item 13)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eff. 5 Dec 2022</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6</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"Afterhours Oncall Process - Switchboard" (Stressor 1(f))</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Apr 2024, 12:39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Metro South to Commissioner Dwyer, K-LM26/729, signed by the Chief Executive (supporting records under Stressors 1 and 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5 Jun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"What's Chloe's Hours?!" (Stressor 1(d))</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 Aug 2023, 2:18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"Good morning Team." (Stressor 1, supporting records)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Jun 2024, 8:58 am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Role description, Administration Officer, Switchboard Services (AO3), Logan Hospital</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undated</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5</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"Approved - Permanent Full Time FTE"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27 Sep 2023, 1:52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Movement form, approved by Mr Hughes as delegate, recording "Continuous Shift Worker"</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27 Feb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Movement form, approved by Mr Hughes, recording "Continuous Shift Worker"</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 Apr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Movement form, approved by Mr Hughes, recording "Continuous Shift Worker"</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 Jun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Forrest, Senior Consultant Human Resources, to the Appellant, stating that the 8-hour agreement "is only applied where staff initiated shift swaps have occurred"</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Jul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22</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Consultation Paper, Proposed Rosters for Switchboard Services, signed by Mr Hughes 12 Nov 2024</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Nov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Consultation outcome, Proposed Rosters, signed by Mr Hughes 12 Dec 2024</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Dec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Screen capture, "2024 Emergency Code Register.xlsx", March 2024 sheet, entries 16-20 Mar 2024 (Stressors 3(b) and 3(c))</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Mar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Spreadsheet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Spreadsheet confirmed; tender. Facts 228-231 not admitted (see the table after Part 1)</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24</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Moran, Organiser, Together Queensland, to Jeffrey, Conaghan and the Appellant, "Switchboard Roster Feedback - For Delegates"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 Nov 2025</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 mentioned</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 mentioned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Outstanding; contents admitted (178-179)</w:t>
            </w:r>
          </w:p>
        </w:tc>
      </w:tr>
    </w:tbl>
    <w:p>
      <w:pPr>
        <w:keepNext w:val="false"/>
        <w:spacing w:after="80" w:before="340" w:line="264"/>
        <w:jc w:val="both"/>
      </w:pPr>
      <w:r>
        <w:rPr>
          <w:rFonts w:ascii="Times New Roman" w:cs="Times New Roman" w:eastAsia="Times New Roman" w:hAnsi="Times New Roman"/>
          <w:sz w:val="22"/>
          <w:szCs w:val="22"/>
        </w:rPr>
        <w:t xml:space="preserve">The Appellant asked the Respondent on 9 September 2026 to confirm the ten outstanding documents. The copies of Tabs 1, 5, 17 to 19, 21 to 24 and 31 came from the Appellant's own records; Tabs 17 to 19, 22 and 23 bear the signature of the employer's Director, Corporate Services. On 12 October 2026 the Respondent provided its own copy of each of the ten except Tab 24. Tab 24 is a Together Queensland document, which the emails of 24 September and 12 October 2026 do not address.</w:t>
      </w:r>
    </w:p>
    <w:p>
      <w:pPr>
        <w:keepNext/>
        <w:spacing w:after="120" w:before="120" w:line="264"/>
        <w:jc w:val="both"/>
      </w:pPr>
      <w:r>
        <w:rPr>
          <w:rFonts w:ascii="Times New Roman" w:cs="Times New Roman" w:eastAsia="Times New Roman" w:hAnsi="Times New Roman"/>
          <w:b/>
          <w:bCs/>
          <w:i w:val="false"/>
          <w:iCs w:val="false"/>
          <w:sz w:val="22"/>
          <w:szCs w:val="22"/>
        </w:rPr>
        <w:t xml:space="preserve">Documents at Tab 32 (provided to the Respondent on 7 October 2026).</w:t>
      </w:r>
      <w:r>
        <w:rPr>
          <w:rFonts w:ascii="Times New Roman" w:cs="Times New Roman" w:eastAsia="Times New Roman" w:hAnsi="Times New Roman"/>
          <w:sz w:val="22"/>
          <w:szCs w:val="22"/>
        </w:rPr>
        <w:t xml:space="preserve"> Metro South Health enclosed both documents with its letter of 5 June 2026 (Tab 20). In answer to the Appellant's request under rule 49 of the </w:t>
      </w:r>
      <w:r>
        <w:rPr>
          <w:rFonts w:ascii="Times New Roman" w:cs="Times New Roman" w:eastAsia="Times New Roman" w:hAnsi="Times New Roman"/>
          <w:b w:val="false"/>
          <w:bCs w:val="false"/>
          <w:i/>
          <w:iCs/>
          <w:sz w:val="22"/>
          <w:szCs w:val="22"/>
        </w:rPr>
        <w:t xml:space="preserve">Industrial Relations (Tribunals) Rules 2011</w:t>
      </w:r>
      <w:r>
        <w:rPr>
          <w:rFonts w:ascii="Times New Roman" w:cs="Times New Roman" w:eastAsia="Times New Roman" w:hAnsi="Times New Roman"/>
          <w:sz w:val="22"/>
          <w:szCs w:val="22"/>
        </w:rPr>
        <w:t xml:space="preserve">, the Respondent stated by email of 16 October 2026: "The Regulator confirms the veracity of these documents."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00"/>
        <w:gridCol w:w="4400"/>
        <w:gridCol w:w="1300"/>
        <w:gridCol w:w="1500"/>
        <w:gridCol w:w="1838"/>
      </w:tblGrid>
      <w:tr>
        <w:trPr>
          <w:cantSplit/>
          <w:tblHeader/>
        </w:trPr>
        <w:tc>
          <w:tcPr>
            <w:tcW w:type="dxa" w:w="6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Tab</w:t>
            </w:r>
          </w:p>
        </w:tc>
        <w:tc>
          <w:tcPr>
            <w:tcW w:type="dxa" w:w="4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Document</w:t>
            </w:r>
          </w:p>
        </w:tc>
        <w:tc>
          <w:tcPr>
            <w:tcW w:type="dxa" w:w="1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Date</w:t>
            </w:r>
          </w:p>
        </w:tc>
        <w:tc>
          <w:tcPr>
            <w:tcW w:type="dxa" w:w="15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16 Oct 2026</w:t>
            </w:r>
          </w:p>
        </w:tc>
        <w:tc>
          <w:tcPr>
            <w:tcW w:type="dxa" w:w="18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Position now</w:t>
            </w:r>
          </w:p>
        </w:tc>
      </w:tr>
      <w:tr>
        <w:trPr>
          <w:cantSplit/>
          <w:tblHeader w:val="false"/>
        </w:trPr>
        <w:tc>
          <w:tcPr>
            <w:tcW w:type="dxa" w:w="6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32A</w:t>
            </w:r>
          </w:p>
        </w:tc>
        <w:tc>
          <w:tcPr>
            <w:tcW w:type="dxa" w:w="4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Role Description, Manager Switchboard Services, Logan Hospital (AO4), RD 30478699 (Item 6)</w:t>
            </w:r>
          </w:p>
        </w:tc>
        <w:tc>
          <w:tcPr>
            <w:tcW w:type="dxa" w:w="1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eff. June 2020</w:t>
            </w:r>
          </w:p>
        </w:tc>
        <w:tc>
          <w:tcPr>
            <w:tcW w:type="dxa" w:w="15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8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6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32B</w:t>
            </w:r>
          </w:p>
        </w:tc>
        <w:tc>
          <w:tcPr>
            <w:tcW w:type="dxa" w:w="4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Instrument of Human Resource Sub-Delegation, COVID-19 Pandemic Event - Paid Special Pandemic Leave (Item 13); the same instrument as Tab 29</w:t>
            </w:r>
          </w:p>
        </w:tc>
        <w:tc>
          <w:tcPr>
            <w:tcW w:type="dxa" w:w="1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signed 23 Nov 2022</w:t>
            </w:r>
          </w:p>
        </w:tc>
        <w:tc>
          <w:tcPr>
            <w:tcW w:type="dxa" w:w="15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8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(as Tab 29); tender</w:t>
            </w:r>
          </w:p>
        </w:tc>
      </w:tr>
    </w:tbl>
    <w:p>
      <w:pPr>
        <w:keepNext/>
        <w:spacing w:after="120" w:before="340" w:line="264"/>
        <w:jc w:val="both"/>
      </w:pPr>
      <w:r>
        <w:rPr>
          <w:rFonts w:ascii="Times New Roman" w:cs="Times New Roman" w:eastAsia="Times New Roman" w:hAnsi="Times New Roman"/>
          <w:b/>
          <w:bCs/>
          <w:i w:val="false"/>
          <w:iCs w:val="false"/>
          <w:sz w:val="22"/>
          <w:szCs w:val="22"/>
        </w:rPr>
        <w:t xml:space="preserve">Facts 228 to 231 and the spreadsheet provided on 12 October 2026.</w:t>
      </w:r>
      <w:r>
        <w:rPr>
          <w:rFonts w:ascii="Times New Roman" w:cs="Times New Roman" w:eastAsia="Times New Roman" w:hAnsi="Times New Roman"/>
          <w:sz w:val="22"/>
          <w:szCs w:val="22"/>
        </w:rPr>
        <w:t xml:space="preserve"> The rows are those of the sheet "MARCH 2024" in the spreadsheet, which has the columns DATE, TIME, CODE AND LOCATION, PAGER and EXTRA INFORMATION.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5300"/>
        <w:gridCol w:w="3638"/>
      </w:tblGrid>
      <w:tr>
        <w:trPr>
          <w:cantSplit/>
          <w:tblHeader/>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b/>
                <w:bCs/>
                <w:i w:val="false"/>
                <w:iCs w:val="false"/>
                <w:sz w:val="22"/>
                <w:szCs w:val="22"/>
              </w:rPr>
              <w:t xml:space="preserve">Fact</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b/>
                <w:bCs/>
                <w:i w:val="false"/>
                <w:iCs w:val="false"/>
                <w:sz w:val="22"/>
                <w:szCs w:val="22"/>
              </w:rPr>
              <w:t xml:space="preserve">The fact as served on 28 August 2026 (not admitted on 8 September 2026)</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b/>
                <w:bCs/>
                <w:i w:val="false"/>
                <w:iCs w:val="false"/>
                <w:sz w:val="22"/>
                <w:szCs w:val="22"/>
              </w:rPr>
              <w:t xml:space="preserve">Rows of the sheet "MARCH 2024" in the spreadsheet provided on 12 October 2026</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228</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A register titled "2024 Emergency Code Register" records, for 17 March 2024, eight entries, including "MET CALL WARD 2H BED 7" at 19:16, "CODE BLUE WARD 2H BED 7" at 19:20 and "MET CALL WARD 2Q BED 5" at 21:16. (Annexure A, Tab 31)</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Rows 9 to 16 are the eight entries for 17 March 2024. The three entries quoted are rows 14, 15 and 16.</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229</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That register records, for 18 March 2024: "CODE GREY QAS TRIAGE AIRLOCK" at 8:48; "MET CALL WARD 6A BED 8" at 9:20; "MET CALL WARD 3DR BED 14" at 11:31; "CANCELLED MET CALL WARD 3DR BED 14" at 11:32; "NEONATAL MET CALL THEATRE 2" at 11:35; and "NEONATAL MET CALL BIRTH SUITES 5" at 13:09. (Annexure A, Tab 31)</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Rows 17 to 22, in the order quoted.</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230</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Six of the entries recorded in that register for 18 March 2024 bear times between 6:00 and 14:00.</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Rows 17 to 22. Row 17 is the first entry for 18 March 2024; the next entry, row 23, is at 14:38.</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231</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That register records, for 19 March 2024 at 11:34, "MET CALL WARD 2I BED 20" with the notation "CALLED VIA SWITRCHBOARD" [sic]. (Annexure A, Tab 31)</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Row 33. The notation is in column E, "EXTRA INFORMATION".</w:t>
            </w:r>
          </w:p>
        </w:tc>
      </w:tr>
    </w:tbl>
    <w:p>
      <w:pPr>
        <w:keepNext/>
        <w:spacing w:after="120" w:before="340" w:line="264"/>
        <w:jc w:val="both"/>
      </w:pPr>
      <w:r>
        <w:rPr>
          <w:rFonts w:ascii="Times New Roman" w:cs="Times New Roman" w:eastAsia="Times New Roman" w:hAnsi="Times New Roman"/>
          <w:b/>
          <w:bCs/>
          <w:i w:val="false"/>
          <w:iCs w:val="false"/>
          <w:sz w:val="22"/>
          <w:szCs w:val="22"/>
        </w:rPr>
        <w:t xml:space="preserve">Schedule, Part 2: other documents relied on in the proposed Second Amended Form 9A that are not at Annexure A</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432"/>
        <w:gridCol w:w="2122"/>
        <w:gridCol w:w="3084"/>
      </w:tblGrid>
      <w:tr>
        <w:trPr>
          <w:cantSplit/>
          <w:tblHeader/>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Document</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Relied on at</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Status or source</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Respondent's outlines of the evidence of Ms Taylor, Ms Reese, Ms Wright and Ms Earl</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1(l), 2(n) to 2(o), 3(c); Stressor 3 agreement and pleaded-answer paragraphs; Part C, paragraph 5A</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Served by the Respondent on 24 September 2026; available to the Commission on request. An outline is not evidence.</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spreadsheet of recorded MET calls for 17 and 18 March 2024</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3(b)</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Metro South Health states that it is available [¶ 268].</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Logan Hospital emergency code procedures referred to in the role description</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 the emergency-code context</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to in the role description [¶ 8] (Tab 1).</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documents recording the advice of Human Resources on the 8-hour agreement</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to in the outlines (first row)</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outlines of Ms Taylor and Ms Reese refer to them; neither identifies them.</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Communication Book</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1(a); Part B.5.4</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 listed in the Respondent's amended List of Documents of 14 August 2026; paragraph 154 of the notice was not admitted.</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Respondent's disclosure of July 2025 headed "Disclosure from witness conferencing - Qld Health Payroll" (24 pages): the email of Ms Christensen, Manager Service Delivery, Payroll, to the Respondent of 11 July 2025, and Payslips 01 to 07, including Payslip 06 (pay date 5 June 2024) and Payslip 07 (pay date 2 July 2025)</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2(n) to 2(o); Part B.4</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Disclosed by the Respondent in July 2025.</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Respondent's disclosure of 11 June 2026 (10 pages): the leave-form walkthrough for Process Reference 15480560, the emails of 15 May 2024 at 1:15 pm and 6:23 pm, and documents concerning the complaint of 13 May 2024</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Stressors 1(e) and 1(l); for 1(i), the date of the complaint only</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Disclosed by the Respondent on 11 June 2026.</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Queensland Health's Code Blue procedure 001443 (Royal Brisbane and Women's Hospital, version 5, April 2020)</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 the emergency-code context: the types of Code Blue and the role of Switchboard Services</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Public document.</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Queensland Ombudsman's Neville Report (June 2006) and its 2011 update, and the Coroner's findings of 12 September 2008</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 the framework history: the origin of the fatigue framework</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Public documents.</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monthly call statistics for April 2025</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1, the operating conditions; Stressor 3(b), the ordinary-call-load paragraph</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Appellant's own record and evidence (Part B preamble).</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Queensland Health Fatigue Risk Management Systems Implementation Guideline QH-GDL-401-3.3:2021 (the full disclosed guideline)</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3(h) and the supporting fatigue records; the quotations from the guideline</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Disclosed in full with the 20 May 2024 email chain on 14 July 2025. Tab 8A at Annexure A is the cover page only.</w:t>
            </w:r>
          </w:p>
        </w:tc>
      </w:tr>
    </w:tbl>
    <w:p>
      <w:pPr>
        <w:keepNext/>
        <w:spacing w:after="120" w:before="340" w:line="264"/>
        <w:jc w:val="both"/>
      </w:pPr>
      <w:r>
        <w:rPr>
          <w:rFonts w:ascii="Times New Roman" w:cs="Times New Roman" w:eastAsia="Times New Roman" w:hAnsi="Times New Roman"/>
          <w:b/>
          <w:bCs/>
          <w:i w:val="false"/>
          <w:iCs w:val="false"/>
          <w:sz w:val="22"/>
          <w:szCs w:val="22"/>
        </w:rPr>
        <w:t xml:space="preserve">Schedule, Part 3: index of the dated particulars in the proposed Second Amended Form 9A (index only; not additional stressors).</w:t>
      </w:r>
      <w:r>
        <w:rPr>
          <w:rFonts w:ascii="Times New Roman" w:cs="Times New Roman" w:eastAsia="Times New Roman" w:hAnsi="Times New Roman"/>
          <w:sz w:val="22"/>
          <w:szCs w:val="22"/>
        </w:rPr>
        <w:t xml:space="preserve"> The three stressors are pleaded, with their particulars, in the proposed Second Amended Form 9A; this index adds no stressor or particular. The causal particulars are 1(b), 1(d), 1(f) to 1(h), 1(k) and 1(l); 2(a) to 2(i), 2(l) and 2(m); and 3(b) to 3(f); they are also listed, with their dates and descriptions, under each stressor in the list of stressors in the proposed Second Amended Form 9A. Particulars 1(a), 1(c), 1(e), 1(i), 1(j), 2(j) and 3(a) are context. Particulars 2(k), 2(n), 2(o), 3(g) and 3(h) are the record of how the matters were handled and when the corrections were made; they are relied on as proof, not as separate causes.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40"/>
        <w:gridCol w:w="1926"/>
        <w:gridCol w:w="1926"/>
        <w:gridCol w:w="5146"/>
      </w:tblGrid>
      <w:tr>
        <w:trPr>
          <w:cantSplit/>
          <w:tblHeader/>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No.</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Date or date range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Particular</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Brief description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1(a)</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on or around 6 June 2023</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Removal of the Communication Book entry</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Entry removed and management response recorded;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1(b)</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July 2023 to 18 June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Database access and the restricted correction process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Operators lost access; amendments were channelled through specified staff.</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1(c)</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August to 16 October 2023</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concerns and the move to full time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error, responses and application for increased hours;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1(d)</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 August 2023 to 17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Notification of variable office hours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Variable hours were stated; no intervening statement of fixed hours is alleged.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February to 1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Pandemic leave submissions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Two declines and three submissions; context here and entitlement issue in 2(b).</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1(f)</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After hours on call process changed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New process was stated to take effect that day.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1(g)</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Data entry process changed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review decision records a new checking process following data entry errors.</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1(h)</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 to 9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Misdirected calls and the MASPER response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Two reports recorded nine occasions before a revised process was communicated.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1(i)</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complaint of 13 May 2024</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Date of the complaint; chronology only, with no causal allegation.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1(j)</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 to 15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On-call roster and absence notification instructions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circulated on the first day of the fortnight it covered; notification of unavailability channelled through the manager from 14 May;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1(k)</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to 20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Respiratory directory error and requests for correction</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Repeated requests, the Appellant’s escalation and management reply.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1(l)</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to 21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Office hours request and the retraction response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Request for clarity, retraction request, hours clarification and follow-up.</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2(a)</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 February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Seven hours recorded instead of eight</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fortnight beginning 5 February was topped up from the RDO balance.</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2(b)</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February to 1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Processing of paid pandemic leave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Three submissions and two declines before final approval.</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2(c)</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 February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Second shift recorded as seven hours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fortnight beginning 19 February was also topped up from the RDO balance.</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2(d)</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fortnight beginning 18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Overtime recorded as ordinary shifts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too many ordinary shifts and a need for overtime coding.</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Public holiday claim submitted late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later described the 30 March public holiday claim as submitted late; relied on as Payroll's later account, not as an admission.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2(f)</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fortnight beginning 1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Hours above the contracted fortnight</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a further requirement for overtime coding.</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2(g)</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 April to 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 enquiry and public holiday review</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Enquiry, acknowledgment, follow-up and response; public holiday review remained open.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2(h)</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directed four fortnight corrections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directed the manager to submit an AVAC for each affected fortnight.</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2(i)</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 to 13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Follow-up found no correction</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Appellant followed up; Payroll referred him back to the line manager.</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2(j)</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to 16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 completed AVAC recorded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Process 16328886 was submitted on 15 May and completed on 16 May;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2(k)</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HR follow-up about rostering</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Director followed up with HR and attached the fatigue guideline; record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2(l)</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Manager awaited Payroll confirmation</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manager said she was still waiting for confirmation.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2(m)</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 to 30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Validation request and partly completed AVAC</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Validation sought; process 16450619 was recorded as "Part Completed".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2(n)</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5 June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Three corrections reached a payslip</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adjustments for 28 February, 30 March and 1 April; record of when corrected.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2(o)</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 June to 2 July 2025</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Later correction of the 9 February shift</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a later amendment and pay date; record of when corrected.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3(a)</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August to 4 September 2023</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Earlier roster error and proposed roster</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Rest was offered after an acknowledged error; the Appellant proposed increased hours;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3(b)</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 to 18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Consecutive shifts and the seven-hour break</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Rostered interval, travel, rest and workload relied on in their operational context.</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3(c)</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Sick leave after the consecutive shifts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record shows 7.60 hours of approved sick leave; the fatigue entitlement is disputed.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3(d)</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 April to 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Fatigue enquiry and refusal</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Acknowledged on 9 April; substantive response and refusal after 23 days.</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16 to 26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line error and proposed alternatives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Error acknowledged after the meeting; no subsequent contact about alternatives is alleged.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3(f)</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 to 8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Fatigue toolkit raised and HR advice awaited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Appellant sought action on the toolkit; the Director said she was awaiting advice.</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3(g)</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Risk rating and roster decision recorded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Director recorded his fatigue concerns, a moderate rating and an undisclosed roster decision; internal record.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3(h)</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HR follow-up with the fatigue guideline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Director followed up her earlier query and attached the guideline; internal record.</w:t>
            </w:r>
          </w:p>
        </w:tc>
      </w:tr>
    </w:tbl>
    <w:sectPr>
      <w:footerReference w:type="default" r:id="rId7"/>
      <w:pgSz w:w="11906" w:h="16838" w:orient="portrait"/>
      <w:pgMar w:top="1134" w:right="1134" w:bottom="1134" w:left="1134"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9d1e7e4199937a9dcb3304ec278cc57dd15eb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Letter to the Regulator with the updated Schedule</dc:title>
  <dc:creator>Cory Lea Shepherd</dc:creator>
  <cp:lastModifiedBy>Cory Lea Shepherd</cp:lastModifiedBy>
  <cp:revision>1</cp:revision>
  <dcterms:created xsi:type="dcterms:W3CDTF">2026-10-19T02:21:06.739Z</dcterms:created>
  <dcterms:modified xsi:type="dcterms:W3CDTF">2026-10-19T02:21:06.739Z</dcterms:modified>
</cp:coreProperties>
</file>

<file path=docProps/custom.xml><?xml version="1.0" encoding="utf-8"?>
<Properties xmlns="http://schemas.openxmlformats.org/officeDocument/2006/custom-properties" xmlns:vt="http://schemas.openxmlformats.org/officeDocument/2006/docPropsVTypes"/>
</file>