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line="264"/>
        <w:jc w:val="both"/>
      </w:pPr>
      <w:r>
        <w:rPr>
          <w:rFonts w:ascii="Times New Roman" w:cs="Times New Roman" w:eastAsia="Times New Roman" w:hAnsi="Times New Roman"/>
          <w:b/>
          <w:bCs/>
          <w:i w:val="false"/>
          <w:iCs w:val="false"/>
          <w:sz w:val="22"/>
          <w:szCs w:val="22"/>
        </w:rPr>
        <w:t xml:space="preserve">WC/2024/227 - Schedule to the Appellant's letter of 1 October 2026, updated to 22 October 2026</w:t>
      </w:r>
    </w:p>
    <w:p>
      <w:pPr>
        <w:keepNext w:val="false"/>
        <w:spacing w:after="120" w:before="0" w:line="264"/>
        <w:jc w:val="both"/>
      </w:pPr>
      <w:r>
        <w:rPr>
          <w:rFonts w:ascii="Times New Roman" w:cs="Times New Roman" w:eastAsia="Times New Roman" w:hAnsi="Times New Roman"/>
          <w:sz w:val="22"/>
          <w:szCs w:val="22"/>
        </w:rPr>
        <w:t xml:space="preserve">The schedule is reproduced as provided on 1 October 2026. Only Part 1 is updated: its introduction, the new column "12 Oct 2026", the column "Position now" and the note after the table; two tables are added after it, for the documents at Tab 32 and for facts 228 to 231. Parts 2 and 3 are unchanged.</w:t>
      </w:r>
    </w:p>
    <w:p>
      <w:pPr>
        <w:keepNext/>
        <w:spacing w:after="120" w:before="0" w:line="264"/>
        <w:jc w:val="both"/>
      </w:pPr>
      <w:r>
        <w:rPr>
          <w:rFonts w:ascii="Times New Roman" w:cs="Times New Roman" w:eastAsia="Times New Roman" w:hAnsi="Times New Roman"/>
          <w:b/>
          <w:bCs/>
          <w:i w:val="false"/>
          <w:iCs w:val="false"/>
          <w:sz w:val="22"/>
          <w:szCs w:val="22"/>
        </w:rPr>
        <w:t xml:space="preserve">Schedule, Part 1: the 39 documents at Annexure A (notices to admit served 28 August 2026) and their status</w:t>
      </w:r>
    </w:p>
    <w:p>
      <w:pPr>
        <w:keepNext w:val="false"/>
        <w:spacing w:after="120" w:before="0" w:line="264"/>
        <w:jc w:val="both"/>
      </w:pPr>
      <w:r>
        <w:rPr>
          <w:rFonts w:ascii="Times New Roman" w:cs="Times New Roman" w:eastAsia="Times New Roman" w:hAnsi="Times New Roman"/>
          <w:sz w:val="22"/>
          <w:szCs w:val="22"/>
        </w:rPr>
        <w:t xml:space="preserve">The 39 documents at Annexure A to the notices to admit served 28 August 2026 are the documents from which the facts in Part B of the proposed Second Amended Form 9A are drawn. On 8 September 2026 the Respondent admitted the authenticity of 25 of them and disputed 14. By email of 24 September 2026 it confirmed four of the 14 "upon further review of the appeal file", stated that it had "requested copies of these documents to be disclosed from MSH" for nine others, and did not mention the fourteenth. By email of 12 October 2026 it provided disclosure copies of those nine documents, Tab 31 as the spreadsheet "2024 Emergency Code Register_16 to 20 March 2024.xlsx", and stated: "The regulator confirms the veracity of the attached documents." Thirty-eight of the 39 documents are therefore admitted or confirmed; the fourteenth, Tab 24, has not been addressed. The facts recorded in 13 of the 14 were admitted on 8 September 2026 to the extent set out in Part B; the exception is the register at Tab 31, from which facts 228 to 231 were not admitted. The table after Part 1 identifies, by row of that spreadsheet, the entries that facts 228 to 231 record.</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60"/>
        <w:gridCol w:w="2400"/>
        <w:gridCol w:w="1200"/>
        <w:gridCol w:w="1000"/>
        <w:gridCol w:w="1560"/>
        <w:gridCol w:w="1440"/>
        <w:gridCol w:w="1478"/>
      </w:tblGrid>
      <w:tr>
        <w:trPr>
          <w:cantSplit/>
          <w:tblHeader/>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Tab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Document</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Date</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8 Sep 2026</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24 Sep 2026</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12 Oct 2026</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Position now</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Stibbard to the Switchboard team, "Hello &amp; Update"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Jul 2023, 12:56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to Reese, "Fwd: Communication Book Update", with her email to Logan Switch of 9:57 am that day</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6 Jun 2023, 4:05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"Increase of hours and Workplace issues" chain and Reese's replies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7-10 Aug 2023</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Reese attaching HR Policy E12; emails of 4 and 8 Sep 2023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29 Aug-8 Sep 2023</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4</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"Request to Increase Working Hours to Full Time Rotational Roster"; emails of 7 Aug 2023 1:43 pm and 5:11 pm</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and 31 Aug 2023</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Concerns" chain</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26 Apr-8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Reese to Pritchard "FW: Roster Concerns"; Reese to LBH_HR attaching qh-gdl-401-3.3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 and 20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Cover page, Fatigue risk management systems implementation guideline QH-GDL-401-3.3:2021</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2021</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MASPER emails (Taylor to Kwok and Wong; "MASPER process") and issue logs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 May 2024 (logs 2-8 May)</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8C</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Stibbard, "Switchboard After Hours On Call Manager PP24"</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 May 2024, 4:29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"Switchboard Manager - On call and Hours."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 May 2024, 9:30 am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"Office Hours and Departmental Directives" chain (1:15 pm, 6:23 pm, 7:09 pm)</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9B</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Reese, "RE: Office Hours and Departmental Directives"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 May 2024, 2:53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"Sick leave 14.05.24", and its forwarding to Reese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14-15 May 2024 (first email 14 May, 12:08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Marriott (Integrated Respiratory Service) to Logan Switch; the Appellant to Taylor; Taylor's reply</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and 20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12</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"Corey Shepherd 388372 Pay issues" thread</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3-13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Same thread, Taylor to the Appellant</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 May 2024, 12:33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14</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"Validation of Claims older than 3 months - Please sign"</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 May 2024, 8:36 am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myHR submissions report (MSH Item 11)</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 Feb-31 May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16</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QH Leave Takings Report (MSH Item 15)</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 Mar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25</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Review Decision 69983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24 Oct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26</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Appellant's first notice to admit facts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before 18 Feb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27</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Respondent's response to that notice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Feb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myHR leave request history, Process Reference 15480560 (MSH Item 11)</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Feb-1 Mar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29</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Instrument of Human Resource Sub-Delegation, Paid Special Pandemic Leave (MSH Item 13)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eff. 5 Dec 2022</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6</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"Afterhours Oncall Process - Switchboard" (Stressor 1(f))</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Apr 2024, 12:39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Metro South to Commissioner Dwyer, K-LM26/729, signed by the Chief Executive (supporting records under Stressors 1 and 3)</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5 Jun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"What's Chloe's Hours?!" (Stressor 1(d))</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 Aug 2023, 2:18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30A</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"Good morning Team." (Stressor 1, supporting records)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Jun 2024, 8:58 am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Role description, Administration Officer, Switchboard Services (AO3), Logan Hospital</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undated</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5</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Taylor, "Approved - Permanent Full Time FTE"</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27 Sep 2023, 1:52 pm</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Movement form, approved by Mr Hughes as delegate, recording "Continuous Shift Worker"</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27 Feb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Movement form, approved by Mr Hughes, recording "Continuous Shift Worker"</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 Apr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Movement form, approved by Mr Hughes, recording "Continuous Shift Worker"</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 Jun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Forrest, Senior Consultant Human Resources, to the Appellant, stating that the 8-hour agreement "is only applied where staff initiated shift swaps have occurred"</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Jul 2026</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22</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Consultation Paper, Proposed Rosters for Switchboard Services, signed by Mr Hughes 12 Nov 2024</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Nov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Consultation outcome, Proposed Rosters, signed by Mr Hughes 12 Dec 2024</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Dec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Copy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Now admitted; tender</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31</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Screen capture, "2024 Emergency Code Register.xlsx", March 2024 sheet, entries 16-20 Mar 2024 (Stressors 3(b) and 3(c))</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Mar 2024</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by the Respondent to Metro South for copies</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Spreadsheet provided; confirmed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Spreadsheet confirmed; tender. Facts 228-231 not admitted (see the table after Part 1)</w:t>
            </w:r>
          </w:p>
        </w:tc>
      </w:tr>
      <w:tr>
        <w:trPr>
          <w:cantSplit/>
          <w:tblHeader w:val="false"/>
        </w:trPr>
        <w:tc>
          <w:tcPr>
            <w:tcW w:type="dxa" w:w="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24</w:t>
            </w:r>
          </w:p>
        </w:tc>
        <w:tc>
          <w:tcPr>
            <w:tcW w:type="dxa" w:w="2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Moran, Organiser, Together Queensland, to Jeffrey, Conaghan and the Appellant, "Switchboard Roster Feedback - For Delegates"</w:t>
            </w:r>
          </w:p>
        </w:tc>
        <w:tc>
          <w:tcPr>
            <w:tcW w:type="dxa" w:w="12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 Nov 2025</w:t>
            </w:r>
          </w:p>
        </w:tc>
        <w:tc>
          <w:tcPr>
            <w:tcW w:type="dxa" w:w="10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Disputed</w:t>
            </w:r>
          </w:p>
        </w:tc>
        <w:tc>
          <w:tcPr>
            <w:tcW w:type="dxa" w:w="156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 mentioned</w:t>
            </w:r>
          </w:p>
        </w:tc>
        <w:tc>
          <w:tcPr>
            <w:tcW w:type="dxa" w:w="14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 mentioned</w:t>
            </w:r>
          </w:p>
        </w:tc>
        <w:tc>
          <w:tcPr>
            <w:tcW w:type="dxa" w:w="147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Outstanding; contents admitted (178-179)</w:t>
            </w:r>
          </w:p>
        </w:tc>
      </w:tr>
    </w:tbl>
    <w:p>
      <w:pPr>
        <w:keepNext w:val="false"/>
        <w:spacing w:after="80" w:before="340" w:line="264"/>
        <w:jc w:val="both"/>
      </w:pPr>
      <w:r>
        <w:rPr>
          <w:rFonts w:ascii="Times New Roman" w:cs="Times New Roman" w:eastAsia="Times New Roman" w:hAnsi="Times New Roman"/>
          <w:sz w:val="22"/>
          <w:szCs w:val="22"/>
        </w:rPr>
        <w:t xml:space="preserve">The Appellant asked the Respondent on 9 September 2026 to confirm the ten outstanding documents. The copies of Tabs 1, 5, 17 to 19, 21 to 24 and 31 came from the Appellant's own records; Tabs 17 to 19, 22 and 23 bear the signature of the employer's Director, Corporate Services. On 12 October 2026 the Respondent provided its own copy of each of the ten except Tab 24. Tab 24 is a Together Queensland document, which the emails of 24 September and 12 October 2026 do not address.</w:t>
      </w:r>
    </w:p>
    <w:p>
      <w:pPr>
        <w:keepNext/>
        <w:spacing w:after="120" w:before="120" w:line="264"/>
        <w:jc w:val="both"/>
      </w:pPr>
      <w:r>
        <w:rPr>
          <w:rFonts w:ascii="Times New Roman" w:cs="Times New Roman" w:eastAsia="Times New Roman" w:hAnsi="Times New Roman"/>
          <w:b/>
          <w:bCs/>
          <w:i w:val="false"/>
          <w:iCs w:val="false"/>
          <w:sz w:val="22"/>
          <w:szCs w:val="22"/>
        </w:rPr>
        <w:t xml:space="preserve">Documents at Tab 32 (provided to the Respondent on 7 October 2026).</w:t>
      </w:r>
      <w:r>
        <w:rPr>
          <w:rFonts w:ascii="Times New Roman" w:cs="Times New Roman" w:eastAsia="Times New Roman" w:hAnsi="Times New Roman"/>
          <w:sz w:val="22"/>
          <w:szCs w:val="22"/>
        </w:rPr>
        <w:t xml:space="preserve"> Metro South Health enclosed both documents with its letter of 5 June 2026 (Tab 20). In answer to the Appellant's request under rule 49 of the </w:t>
      </w:r>
      <w:r>
        <w:rPr>
          <w:rFonts w:ascii="Times New Roman" w:cs="Times New Roman" w:eastAsia="Times New Roman" w:hAnsi="Times New Roman"/>
          <w:b w:val="false"/>
          <w:bCs w:val="false"/>
          <w:i/>
          <w:iCs/>
          <w:sz w:val="22"/>
          <w:szCs w:val="22"/>
        </w:rPr>
        <w:t xml:space="preserve">Industrial Relations (Tribunals) Rules 2011</w:t>
      </w:r>
      <w:r>
        <w:rPr>
          <w:rFonts w:ascii="Times New Roman" w:cs="Times New Roman" w:eastAsia="Times New Roman" w:hAnsi="Times New Roman"/>
          <w:sz w:val="22"/>
          <w:szCs w:val="22"/>
        </w:rPr>
        <w:t xml:space="preserve">, the Respondent stated by email of 16 October 2026: "The Regulator confirms the veracity of these documents."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00"/>
        <w:gridCol w:w="4400"/>
        <w:gridCol w:w="1300"/>
        <w:gridCol w:w="1500"/>
        <w:gridCol w:w="1838"/>
      </w:tblGrid>
      <w:tr>
        <w:trPr>
          <w:cantSplit/>
          <w:tblHeader/>
        </w:trPr>
        <w:tc>
          <w:tcPr>
            <w:tcW w:type="dxa" w:w="6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Tab</w:t>
            </w:r>
          </w:p>
        </w:tc>
        <w:tc>
          <w:tcPr>
            <w:tcW w:type="dxa" w:w="4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Document</w:t>
            </w:r>
          </w:p>
        </w:tc>
        <w:tc>
          <w:tcPr>
            <w:tcW w:type="dxa" w:w="1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Date</w:t>
            </w:r>
          </w:p>
        </w:tc>
        <w:tc>
          <w:tcPr>
            <w:tcW w:type="dxa" w:w="15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16 Oct 2026</w:t>
            </w:r>
          </w:p>
        </w:tc>
        <w:tc>
          <w:tcPr>
            <w:tcW w:type="dxa" w:w="18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Position now</w:t>
            </w:r>
          </w:p>
        </w:tc>
      </w:tr>
      <w:tr>
        <w:trPr>
          <w:cantSplit/>
          <w:tblHeader w:val="false"/>
        </w:trPr>
        <w:tc>
          <w:tcPr>
            <w:tcW w:type="dxa" w:w="6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32A</w:t>
            </w:r>
          </w:p>
        </w:tc>
        <w:tc>
          <w:tcPr>
            <w:tcW w:type="dxa" w:w="4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Role Description, Manager Switchboard Services, Logan Hospital (AO4), RD 30478699 (Item 6)</w:t>
            </w:r>
          </w:p>
        </w:tc>
        <w:tc>
          <w:tcPr>
            <w:tcW w:type="dxa" w:w="1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eff. June 2020</w:t>
            </w:r>
          </w:p>
        </w:tc>
        <w:tc>
          <w:tcPr>
            <w:tcW w:type="dxa" w:w="15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8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tender</w:t>
            </w:r>
          </w:p>
        </w:tc>
      </w:tr>
      <w:tr>
        <w:trPr>
          <w:cantSplit/>
          <w:tblHeader w:val="false"/>
        </w:trPr>
        <w:tc>
          <w:tcPr>
            <w:tcW w:type="dxa" w:w="6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32B</w:t>
            </w:r>
          </w:p>
        </w:tc>
        <w:tc>
          <w:tcPr>
            <w:tcW w:type="dxa" w:w="44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Instrument of Human Resource Sub-Delegation, COVID-19 Pandemic Event - Paid Special Pandemic Leave (Item 13); the same instrument as Tab 29</w:t>
            </w:r>
          </w:p>
        </w:tc>
        <w:tc>
          <w:tcPr>
            <w:tcW w:type="dxa" w:w="1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signed 23 Nov 2022</w:t>
            </w:r>
          </w:p>
        </w:tc>
        <w:tc>
          <w:tcPr>
            <w:tcW w:type="dxa" w:w="15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Confirmed by the Respondent</w:t>
            </w:r>
          </w:p>
        </w:tc>
        <w:tc>
          <w:tcPr>
            <w:tcW w:type="dxa" w:w="18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Admitted (as Tab 29); tender</w:t>
            </w:r>
          </w:p>
        </w:tc>
      </w:tr>
    </w:tbl>
    <w:p>
      <w:pPr>
        <w:keepNext/>
        <w:spacing w:after="120" w:before="340" w:line="264"/>
        <w:jc w:val="both"/>
      </w:pPr>
      <w:r>
        <w:rPr>
          <w:rFonts w:ascii="Times New Roman" w:cs="Times New Roman" w:eastAsia="Times New Roman" w:hAnsi="Times New Roman"/>
          <w:b/>
          <w:bCs/>
          <w:i w:val="false"/>
          <w:iCs w:val="false"/>
          <w:sz w:val="22"/>
          <w:szCs w:val="22"/>
        </w:rPr>
        <w:t xml:space="preserve">Facts 228 to 231 and the spreadsheet provided on 12 October 2026.</w:t>
      </w:r>
      <w:r>
        <w:rPr>
          <w:rFonts w:ascii="Times New Roman" w:cs="Times New Roman" w:eastAsia="Times New Roman" w:hAnsi="Times New Roman"/>
          <w:sz w:val="22"/>
          <w:szCs w:val="22"/>
        </w:rPr>
        <w:t xml:space="preserve"> The rows are those of the sheet "MARCH 2024" in the spreadsheet, which has the columns DATE, TIME, CODE AND LOCATION, PAGER and EXTRA INFORMATION.</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5300"/>
        <w:gridCol w:w="3638"/>
      </w:tblGrid>
      <w:tr>
        <w:trPr>
          <w:cantSplit/>
          <w:tblHeader/>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b/>
                <w:bCs/>
                <w:i w:val="false"/>
                <w:iCs w:val="false"/>
                <w:sz w:val="22"/>
                <w:szCs w:val="22"/>
              </w:rPr>
              <w:t xml:space="preserve">Fact</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b/>
                <w:bCs/>
                <w:i w:val="false"/>
                <w:iCs w:val="false"/>
                <w:sz w:val="22"/>
                <w:szCs w:val="22"/>
              </w:rPr>
              <w:t xml:space="preserve">The fact as served on 28 August 2026 (not admitted on 8 September 2026)</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b/>
                <w:bCs/>
                <w:i w:val="false"/>
                <w:iCs w:val="false"/>
                <w:sz w:val="22"/>
                <w:szCs w:val="22"/>
              </w:rPr>
              <w:t xml:space="preserve">Rows of the sheet "MARCH 2024" in the spreadsheet provided on 12 October 2026</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228</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A register titled "2024 Emergency Code Register" records, for 17 March 2024, eight entries, including "MET CALL WARD 2H BED 7" at 19:16, "CODE BLUE WARD 2H BED 7" at 19:20 and "MET CALL WARD 2Q BED 5" at 21:16. (Annexure A, Tab 31)</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Rows 9 to 16 are the eight entries for 17 March 2024. The three entries quoted are rows 14, 15 and 16.</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229</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That register records, for 18 March 2024: "CODE GREY QAS TRIAGE AIRLOCK" at 8:48; "MET CALL WARD 6A BED 8" at 9:20; "MET CALL WARD 3DR BED 14" at 11:31; "CANCELLED MET CALL WARD 3DR BED 14" at 11:32; "NEONATAL MET CALL THEATRE 2" at 11:35; and "NEONATAL MET CALL BIRTH SUITES 5" at 13:09. (Annexure A, Tab 31)</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Rows 17 to 22, in the order quoted.</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230</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Six of the entries recorded in that register for 18 March 2024 bear times between 6:00 and 14:00.</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spacing w:after="0" w:line="240"/>
            </w:pPr>
            <w:r>
              <w:rPr>
                <w:rFonts w:ascii="Times New Roman" w:cs="Times New Roman" w:eastAsia="Times New Roman" w:hAnsi="Times New Roman"/>
                <w:sz w:val="22"/>
                <w:szCs w:val="22"/>
              </w:rPr>
              <w:t xml:space="preserve">Rows 17 to 22. Row 17 is the first entry for 18 March 2024; the next entry, row 23, is at 14:38.</w:t>
            </w:r>
          </w:p>
        </w:tc>
      </w:tr>
      <w:tr>
        <w:trPr>
          <w:cantSplit/>
          <w:tblHeader w:val="false"/>
        </w:trPr>
        <w:tc>
          <w:tcPr>
            <w:tcW w:type="dxa" w:w="7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231</w:t>
            </w:r>
          </w:p>
        </w:tc>
        <w:tc>
          <w:tcPr>
            <w:tcW w:type="dxa" w:w="530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That register records, for 19 March 2024 at 11:34, "MET CALL WARD 2I BED 20" with the notation "CALLED VIA SWITRCHBOARD" [sic]. (Annexure A, Tab 31)</w:t>
            </w:r>
          </w:p>
        </w:tc>
        <w:tc>
          <w:tcPr>
            <w:tcW w:type="dxa" w:w="3638"/>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Row 33. The notation is in column E, "EXTRA INFORMATION".</w:t>
            </w:r>
          </w:p>
        </w:tc>
      </w:tr>
    </w:tbl>
    <w:p>
      <w:pPr>
        <w:keepNext/>
        <w:spacing w:after="120" w:before="340" w:line="264"/>
        <w:jc w:val="both"/>
      </w:pPr>
      <w:r>
        <w:rPr>
          <w:rFonts w:ascii="Times New Roman" w:cs="Times New Roman" w:eastAsia="Times New Roman" w:hAnsi="Times New Roman"/>
          <w:b/>
          <w:bCs/>
          <w:i w:val="false"/>
          <w:iCs w:val="false"/>
          <w:sz w:val="22"/>
          <w:szCs w:val="22"/>
        </w:rPr>
        <w:t xml:space="preserve">Schedule, Part 2: other documents relied on in the proposed Second Amended Form 9A that are not at Annexure A</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432"/>
        <w:gridCol w:w="2122"/>
        <w:gridCol w:w="3084"/>
      </w:tblGrid>
      <w:tr>
        <w:trPr>
          <w:cantSplit/>
          <w:tblHeader/>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Document</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Relied on at</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Status or source</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Respondent's outlines of the evidence of Ms Taylor, Ms Reese, Ms Wright and Ms Earl</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1(l), 2(n) to 2(o), 3(c); Stressor 3 agreement and pleaded-answer paragraphs; Part C, paragraph 5A</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Served by the Respondent on 24 September 2026; available to the Commission on request. An outline is not evidence.</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spreadsheet of recorded MET calls for 17 and 18 March 2024</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3(b)</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Metro South Health states that it is available [¶ 268].</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Logan Hospital emergency code procedures referred to in the role description</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 the emergency-code context</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to in the role description [¶ 8] (Tab 1).</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documents recording the advice of Human Resources on the 8-hour agreement</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Referred to in the outlines (first row)</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outlines of Ms Taylor and Ms Reese refer to them; neither identifies them.</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Communication Book</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1(a); Part B.5.4</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 listed in the Respondent's amended List of Documents of 14 August 2026; paragraph 154 of the notice was not admitted.</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Respondent's disclosure of July 2025 headed "Disclosure from witness conferencing - Qld Health Payroll" (24 pages): the email of Ms Christensen, Manager Service Delivery, Payroll, to the Respondent of 11 July 2025, and Payslips 01 to 07, including Payslip 06 (pay date 5 June 2024) and Payslip 07 (pay date 2 July 2025)</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2(n) to 2(o); Part B.4</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Disclosed by the Respondent in July 2025.</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Respondent's disclosure of 11 June 2026 (10 pages): the leave-form walkthrough for Process Reference 15480560, the emails of 15 May 2024 at 1:15 pm and 6:23 pm, and documents concerning the complaint of 13 May 2024</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Stressors 1(e) and 1(l); for 1(i), the date of the complaint only</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Disclosed by the Respondent on 11 June 2026.</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Queensland Health's Code Blue procedure 001443 (Royal Brisbane and Women's Hospital, version 5, April 2020)</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 the emergency-code context: the types of Code Blue and the role of Switchboard Services</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Public document.</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Queensland Ombudsman's Neville Report (June 2006) and its 2011 update, and the Coroner's findings of 12 September 2008</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 the framework history: the origin of the fatigue framework</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Public documents.</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monthly call statistics for April 2025</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1, the operating conditions; Stressor 3(b), the ordinary-call-load paragraph</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Appellant's own record and evidence (Part B preamble).</w:t>
            </w:r>
          </w:p>
        </w:tc>
      </w:tr>
      <w:tr>
        <w:trPr>
          <w:cantSplit/>
          <w:tblHeader w:val="false"/>
        </w:trPr>
        <w:tc>
          <w:tcPr>
            <w:tcW w:type="dxa" w:w="443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Queensland Health Fatigue Risk Management Systems Implementation Guideline QH-GDL-401-3.3:2021 (the full disclosed guideline)</w:t>
            </w:r>
          </w:p>
        </w:tc>
        <w:tc>
          <w:tcPr>
            <w:tcW w:type="dxa" w:w="2122"/>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Stressor 3(h) and the supporting fatigue records; the quotations from the guideline</w:t>
            </w:r>
          </w:p>
        </w:tc>
        <w:tc>
          <w:tcPr>
            <w:tcW w:type="dxa" w:w="3084"/>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Disclosed in full with the 20 May 2024 email chain on 14 July 2025. Tab 8A at Annexure A is the cover page only.</w:t>
            </w:r>
          </w:p>
        </w:tc>
      </w:tr>
    </w:tbl>
    <w:p>
      <w:pPr>
        <w:keepNext/>
        <w:spacing w:after="120" w:before="340" w:line="264"/>
        <w:jc w:val="both"/>
      </w:pPr>
      <w:r>
        <w:rPr>
          <w:rFonts w:ascii="Times New Roman" w:cs="Times New Roman" w:eastAsia="Times New Roman" w:hAnsi="Times New Roman"/>
          <w:b/>
          <w:bCs/>
          <w:i w:val="false"/>
          <w:iCs w:val="false"/>
          <w:sz w:val="22"/>
          <w:szCs w:val="22"/>
        </w:rPr>
        <w:t xml:space="preserve">Schedule, Part 3: index of the dated particulars in the proposed Second Amended Form 9A (index only; not additional stressors).</w:t>
      </w:r>
      <w:r>
        <w:rPr>
          <w:rFonts w:ascii="Times New Roman" w:cs="Times New Roman" w:eastAsia="Times New Roman" w:hAnsi="Times New Roman"/>
          <w:sz w:val="22"/>
          <w:szCs w:val="22"/>
        </w:rPr>
        <w:t xml:space="preserve"> The three stressors are pleaded, with their particulars, in the proposed Second Amended Form 9A; this index adds no stressor or particular. The causal particulars are 1(b), 1(d), 1(f) to 1(h), 1(k) and 1(l); 2(a) to 2(i), 2(l) and 2(m); and 3(b) to 3(f); they are also listed, with their dates and descriptions, under each stressor in the list of stressors in the proposed Second Amended Form 9A. Particulars 1(a), 1(c), 1(e), 1(i), 1(j), 2(j) and 3(a) are context. Particulars 2(k), 2(n), 2(o), 3(g) and 3(h) are the record of how the matters were handled and when the corrections were made; they are relied on as proof, not as separate causes.</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40"/>
        <w:gridCol w:w="1926"/>
        <w:gridCol w:w="1926"/>
        <w:gridCol w:w="5146"/>
      </w:tblGrid>
      <w:tr>
        <w:trPr>
          <w:cantSplit/>
          <w:tblHeader/>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No.</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Date or date range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Particular</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Brief description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1(a)</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on or around 6 June 2023</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Removal of the Communication Book entry</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Entry removed and management response recorded;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1(b)</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18 July 2023 to 18 June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Database access and the restricted correction process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Operators lost access; amendments were channelled through specified staff.</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1(c)</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August to 16 October 2023</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concerns and the move to full time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error, responses and application for increased hours;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1(d)</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23 August 2023 to 17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Notification of variable office hours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Variable hours were stated; no intervening statement of fixed hours is alleged.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February to 1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Pandemic leave submissions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Two declines and three submissions; context here and entitlement issue in 2(b).</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1(f)</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After hours on call process changed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New process was stated to take effect that day.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1(g)</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Data entry process changed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review decision records a new checking process following data entry errors.</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1(h)</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 to 9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Misdirected calls and the MASPER response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Two reports recorded nine occasions before a revised process was communicated.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1(i)</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complaint of 13 May 2024</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Date of the complaint; chronology only, with no causal allegation.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1(j)</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13 to 15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On-call roster and absence notification instructions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circulated on the first day of the fortnight it covered; notification of unavailability channelled through the manager from 14 May;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1(k)</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to 20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Respiratory directory error and requests for correction</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Repeated requests, the Appellant’s escalation and management reply.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1(l)</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to 21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Office hours request and the retraction response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Request for clarity, retraction request, hours clarification and follow-up.</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2(a)</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9 February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Seven hours recorded instead of eight</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fortnight beginning 5 February was topped up from the RDO balance.</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2(b)</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February to 1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Processing of paid pandemic leave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Three submissions and two declines before final approval.</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2(c)</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 February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Second shift recorded as seven hours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fortnight beginning 19 February was also topped up from the RDO balance.</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2(d)</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fortnight beginning 18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Overtime recorded as ordinary shifts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too many ordinary shifts and a need for overtime coding.</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Public holiday claim submitted late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later described the 30 March public holiday claim as submitted late; relied on as Payroll's later account, not as an admission.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2(f)</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fortnight beginning 1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Hours above the contracted fortnight</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a further requirement for overtime coding.</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2(g)</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 April to 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 enquiry and public holiday review</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Enquiry, acknowledgment, follow-up and response; public holiday review remained open.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2(h)</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directed four fortnight corrections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directed the manager to submit an AVAC for each affected fortnight.</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2(i)</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 to 13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Follow-up found no correction</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Appellant followed up; Payroll referred him back to the line manager.</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2(j)</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15 to 16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 completed AVAC recorded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Process 16328886 was submitted on 15 May and completed on 16 May;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2(k)</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HR follow-up about rostering</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Director followed up with HR and attached the fatigue guideline; record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2(l)</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Manager awaited Payroll confirmation</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manager said she was still waiting for confirmation.</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2(m)</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28 to 30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Validation request and partly completed AVAC</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Validation sought; process 16450619 was recorded as "Part Completed".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2(n)</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5 June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Three corrections reached a payslip</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adjustments for 28 February, 30 March and 1 April; record of when corrected.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2(o)</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30 June to 2 July 2025</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Later correction of the 9 February shift</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Payroll identified a later amendment and pay date; record of when corrected.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3(a)</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7 August to 4 September 2023</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Earlier roster error and proposed roster</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Rest was offered after an acknowledged error; the Appellant proposed increased hours; context only.</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3(b)</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17 to 18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Consecutive shifts and the seven-hour break</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Rostered interval, travel, rest and workload relied on in their operational context.</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3(c)</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19 March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Sick leave after the consecutive shifts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record shows 7.60 hours of approved sick leave; the fatigue entitlement is disputed.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3(d)</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8 April to 1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Fatigue enquiry and refusal</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Acknowledged on 9 April; substantive response and refusal after 23 days.</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3(e)</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16 to 26 April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Roster line error and proposed alternatives</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Error acknowledged after the meeting; no subsequent contact about alternatives is alleged.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3(f)</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 to 8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Fatigue toolkit raised and HR advice awaited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Appellant sought action on the toolkit; the Director said she was awaiting advice.</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3(g)</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10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Risk rating and roster decision recorded</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Director recorded his fatigue concerns, a moderate rating and an undisclosed roster decision; internal record.</w:t>
            </w:r>
          </w:p>
        </w:tc>
      </w:tr>
      <w:tr>
        <w:trPr>
          <w:cantSplit/>
          <w:tblHeader w:val="false"/>
        </w:trPr>
        <w:tc>
          <w:tcPr>
            <w:tcW w:type="dxa" w:w="640"/>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b/>
                <w:bCs/>
                <w:i w:val="false"/>
                <w:iCs w:val="false"/>
                <w:sz w:val="22"/>
                <w:szCs w:val="22"/>
              </w:rPr>
              <w:t xml:space="preserve">3(h)</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20 May 2024</w:t>
            </w:r>
          </w:p>
        </w:tc>
        <w:tc>
          <w:tcPr>
            <w:tcW w:type="dxa" w:w="192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HR follow-up with the fatigue guideline</w:t>
            </w:r>
          </w:p>
        </w:tc>
        <w:tc>
          <w:tcPr>
            <w:tcW w:type="dxa" w:w="5146"/>
            <w:tcBorders>
              <w:top w:val="single" w:color="D9D9D9" w:sz="4"/>
              <w:left w:val="single" w:color="D9D9D9" w:sz="4"/>
              <w:bottom w:val="single" w:color="D9D9D9" w:sz="4"/>
              <w:right w:val="single" w:color="D9D9D9" w:sz="4"/>
            </w:tcBorders>
            <w:tcMar>
              <w:top w:type="dxa" w:w="70"/>
              <w:left w:type="dxa" w:w="80"/>
              <w:bottom w:type="dxa" w:w="70"/>
              <w:right w:type="dxa" w:w="80"/>
            </w:tcMar>
          </w:tcPr>
          <w:p>
            <w:pPr>
              <w:keepNext w:val="false"/>
              <w:spacing w:after="0" w:line="240"/>
            </w:pPr>
            <w:r>
              <w:rPr>
                <w:rFonts w:ascii="Times New Roman" w:cs="Times New Roman" w:eastAsia="Times New Roman" w:hAnsi="Times New Roman"/>
                <w:sz w:val="22"/>
                <w:szCs w:val="22"/>
              </w:rPr>
              <w:t xml:space="preserve">The Director followed up her earlier query and attached the guideline; internal record.</w:t>
            </w:r>
          </w:p>
        </w:tc>
      </w:tr>
    </w:tbl>
    <w:sectPr>
      <w:footerReference w:type="default" r:id="rId7"/>
      <w:pgSz w:w="11906" w:h="16838" w:orient="portrait"/>
      <w:pgMar w:top="1134" w:right="1134" w:bottom="1134" w:left="1134"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Schedule of 1 October 2026, updated</dc:title>
  <dc:creator>Cory Lea Shepherd</dc:creator>
  <cp:lastModifiedBy>Cory Lea Shepherd</cp:lastModifiedBy>
  <cp:revision>1</cp:revision>
  <dcterms:created xsi:type="dcterms:W3CDTF">2026-10-19T02:21:06.899Z</dcterms:created>
  <dcterms:modified xsi:type="dcterms:W3CDTF">2026-10-19T02:21:06.899Z</dcterms:modified>
</cp:coreProperties>
</file>

<file path=docProps/custom.xml><?xml version="1.0" encoding="utf-8"?>
<Properties xmlns="http://schemas.openxmlformats.org/officeDocument/2006/custom-properties" xmlns:vt="http://schemas.openxmlformats.org/officeDocument/2006/docPropsVTypes"/>
</file>