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Arial" w:hAnsi="Arial"/>
          <w:sz w:val="20"/>
        </w:rPr>
        <w:t xml:space="preserve">[      ] October 2026</w:t>
      </w:r>
    </w:p>
    <w:p>
      <w:pPr>
        <w:spacing w:after="0"/>
      </w:pPr>
      <w:r>
        <w:rPr>
          <w:rFonts w:ascii="Arial" w:hAnsi="Arial"/>
          <w:sz w:val="20"/>
        </w:rPr>
        <w:t xml:space="preserve">The Industrial Registrar</w:t>
      </w:r>
    </w:p>
    <w:p>
      <w:pPr>
        <w:spacing w:after="0"/>
      </w:pPr>
      <w:r>
        <w:rPr>
          <w:rFonts w:ascii="Arial" w:hAnsi="Arial"/>
          <w:sz w:val="20"/>
        </w:rPr>
        <w:t xml:space="preserve">Queensland Industrial Relations Commission</w:t>
      </w:r>
    </w:p>
    <w:p>
      <w:pPr>
        <w:spacing w:after="0"/>
      </w:pPr>
      <w:r>
        <w:rPr>
          <w:rFonts w:ascii="Arial" w:hAnsi="Arial"/>
          <w:sz w:val="20"/>
        </w:rPr>
        <w:t xml:space="preserve">qirc.registry@qirc.qld.gov.au</w:t>
      </w:r>
    </w:p>
    <w:p>
      <w:pPr>
        <w:spacing w:after="0"/>
      </w:pPr>
      <w:r>
        <w:rPr>
          <w:rFonts w:ascii="Arial" w:hAnsi="Arial"/>
          <w:sz w:val="20"/>
        </w:rPr>
        <w:t xml:space="preserve">Attention: Chambers of Commissioner Dwyer</w:t>
      </w:r>
    </w:p>
    <w:p>
      <w:pPr>
        <w:spacing w:after="100"/>
      </w:pPr>
      <w:r>
        <w:rPr>
          <w:rFonts w:ascii="Arial" w:hAnsi="Arial"/>
          <w:sz w:val="20"/>
        </w:rPr>
        <w:t xml:space="preserve"/>
      </w:r>
    </w:p>
    <w:p>
      <w:pPr>
        <w:spacing w:after="100"/>
      </w:pPr>
      <w:r>
        <w:rPr>
          <w:rFonts w:ascii="Arial" w:hAnsi="Arial"/>
          <w:sz w:val="20"/>
        </w:rPr>
        <w:t xml:space="preserve">Copy: Ms Renee Matheson, Senior Appeals Officer, Workers' Compensation Regulator (Renee.Matheson@oir.qld.gov.au)</w:t>
      </w:r>
    </w:p>
    <w:p>
      <w:pPr>
        <w:spacing w:after="100"/>
      </w:pPr>
      <w:r>
        <w:rPr>
          <w:rFonts w:ascii="Arial" w:hAnsi="Arial"/>
          <w:b/>
          <w:sz w:val="20"/>
        </w:rPr>
        <w:t xml:space="preserve">WC/2024/227 - Cory Lea Shepherd v Workers' Compensation Regulator</w:t>
      </w:r>
    </w:p>
    <w:p>
      <w:pPr>
        <w:spacing w:after="100"/>
      </w:pPr>
      <w:r>
        <w:rPr>
          <w:rFonts w:ascii="Arial" w:hAnsi="Arial"/>
          <w:b/>
          <w:sz w:val="20"/>
        </w:rPr>
        <w:t xml:space="preserve">Direction 5 election; application for leave to file a Second Amended Statement of Facts and Contentions (Form 9A); status of the documents</w:t>
      </w:r>
    </w:p>
    <w:p>
      <w:pPr>
        <w:spacing w:after="100"/>
      </w:pPr>
      <w:r>
        <w:rPr>
          <w:rFonts w:ascii="Arial" w:hAnsi="Arial"/>
          <w:b/>
          <w:sz w:val="20"/>
        </w:rPr>
        <w:t xml:space="preserve">Direction 5. </w:t>
      </w:r>
      <w:r>
        <w:rPr>
          <w:rFonts w:ascii="Arial" w:hAnsi="Arial"/>
          <w:sz w:val="20"/>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after="100"/>
      </w:pPr>
      <w:r>
        <w:rPr>
          <w:rFonts w:ascii="Arial" w:hAnsi="Arial"/>
          <w:b/>
          <w:sz w:val="20"/>
        </w:rPr>
        <w:t xml:space="preserve">The application, and what the amendment does. </w:t>
      </w:r>
      <w:r>
        <w:rPr>
          <w:rFonts w:ascii="Arial" w:hAnsi="Arial"/>
          <w:sz w:val="20"/>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is made because the matter has crystallised since the Amended Form 9A of 7 April 2026: the Respondent admitted 298 of the 303 facts in the Appellant's notice of 28 August 2026, admitted or has since confirmed 29 of the 39 documents behind them, served its outlines of evidence on 24 September 2026, and has notified no medical or expert evidence. The Second Amended Form 9A accepts that the onus of proof is the Appellant's, withdraws the characterisations in the earlier pleading, confines each stressor to the admitted facts and the documents that record them, states the contentions and the questions for determination on that footing, and adds no new allegation. No hearing date has been set, so the amendment is sought before the matter is listed and before either party prepares for hearing on the earlier pleading. The Appellant does not oppose the Respondent having a period to amend its statement of facts and contentions if it wishes.</w:t>
      </w:r>
    </w:p>
    <w:p>
      <w:pPr>
        <w:spacing w:after="100"/>
      </w:pPr>
      <w:r>
        <w:rPr>
          <w:rFonts w:ascii="Arial" w:hAnsi="Arial"/>
          <w:b/>
          <w:sz w:val="20"/>
        </w:rPr>
        <w:t xml:space="preserve">Why the document is the length it is. </w:t>
      </w:r>
      <w:r>
        <w:rPr>
          <w:rFonts w:ascii="Arial" w:hAnsi="Arial"/>
          <w:sz w:val="20"/>
        </w:rPr>
        <w:t xml:space="preserve">The enclosed pleading sets the admitted facts out under the stressor each proves, with the paragraph number of the admission against each, so that the whole case can be read in one document. Each stressor is pleaded so that it can be decided on its own; where a fact bears on more than one it is repeated, and the pleading says so. Part B.7 lists every document relied upon and its status.</w:t>
      </w:r>
    </w:p>
    <w:p>
      <w:pPr>
        <w:spacing w:after="100"/>
      </w:pPr>
      <w:r>
        <w:rPr>
          <w:rFonts w:ascii="Arial" w:hAnsi="Arial"/>
          <w:b/>
          <w:sz w:val="20"/>
        </w:rPr>
        <w:t xml:space="preserve">The matter, in summary. </w:t>
      </w:r>
      <w:r>
        <w:rPr>
          <w:rFonts w:ascii="Arial" w:hAnsi="Arial"/>
          <w:sz w:val="20"/>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without any listed record of consultation (51, 181, 273), calls were misdirected and the directory was not corrected (56 to 69, 89 to 110), and the manager's office hours were not stated for nine months (71 to 73);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upon for section 32(5) (303), and its outlines of evidence served 24 September 2026 notify no medical or expert evidence.</w:t>
      </w:r>
    </w:p>
    <w:p>
      <w:pPr>
        <w:spacing w:after="100"/>
      </w:pPr>
      <w:r>
        <w:rPr>
          <w:rFonts w:ascii="Arial" w:hAnsi="Arial"/>
          <w:b/>
          <w:sz w:val="20"/>
        </w:rPr>
        <w:t xml:space="preserve">The record, available on request. </w:t>
      </w:r>
      <w:r>
        <w:rPr>
          <w:rFonts w:ascii="Arial" w:hAnsi="Arial"/>
          <w:sz w:val="20"/>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after="100"/>
      </w:pPr>
      <w:r>
        <w:rPr>
          <w:rFonts w:ascii="Arial" w:hAnsi="Arial"/>
          <w:b/>
          <w:sz w:val="20"/>
        </w:rPr>
        <w:t xml:space="preserve">Where the Appellant stands. </w:t>
      </w:r>
      <w:r>
        <w:rPr>
          <w:rFonts w:ascii="Arial" w:hAnsi="Arial"/>
          <w:sz w:val="20"/>
        </w:rPr>
        <w:t xml:space="preserve">The Appellant relies on the admitted facts, the documents listed in the enclosed Part B.7, the treating medical records served on 9 September 2026, and the oral evidence of his treating general practitioner and psychiatrist. He does not rely on any medico-legal report. He seeks the orders in Part E of the enclosure.</w:t>
      </w:r>
    </w:p>
    <w:p>
      <w:pPr>
        <w:spacing w:after="100"/>
      </w:pPr>
      <w:r>
        <w:rPr>
          <w:rFonts w:ascii="Arial" w:hAnsi="Arial"/>
          <w:b/>
          <w:sz w:val="20"/>
        </w:rPr>
        <w:t xml:space="preserve">The documents. </w:t>
      </w:r>
      <w:r>
        <w:rPr>
          <w:rFonts w:ascii="Arial" w:hAnsi="Arial"/>
          <w:sz w:val="20"/>
        </w:rPr>
        <w:t xml:space="preserve">The schedule on the following page states, for each of the 39 documents at Annexure A to the notices of 28 August 2026, whether its authenticity was admitted on 8 September 2026, disputed then and confirmed by the Respondent on 23 September 2026, or disputed and referred by the Respondent to Metro South Hospital and Health Service for copies. The facts recorded in every disputed document were admitted on 8 September 2026. The copies of the nine referred documents were produced from the Appellant's own records; five bear the signature of the employer's Director, Corporate Services. The Appellant asked the Respondent on 9 September 2026 to confirm them. Production of the same documents by Metro South to the Respondent, and their disclosure back to the Appellant, would return to him documents he already holds. The Appellant asks that the Respondent be directed to state, by a date the Commission fixes, whether it disputes the authenticity of each of the ten outstanding documents and on what ground; failing which, that they be received at hearing subject to proof.</w:t>
      </w:r>
    </w:p>
    <w:p>
      <w:pPr>
        <w:spacing w:after="100"/>
      </w:pPr>
      <w:r>
        <w:rPr>
          <w:rFonts w:ascii="Arial" w:hAnsi="Arial"/>
          <w:sz w:val="20"/>
        </w:rPr>
        <w:t xml:space="preserve">The Appellant asks that this letter and its enclosure be placed before Commissioner Dwyer and will proceed on the orders made.</w:t>
      </w:r>
    </w:p>
    <w:p>
      <w:pPr>
        <w:spacing w:after="100"/>
      </w:pPr>
      <w:r>
        <w:rPr>
          <w:rFonts w:ascii="Arial" w:hAnsi="Arial"/>
          <w:sz w:val="20"/>
        </w:rPr>
        <w:t xml:space="preserve">Cory Lea Shepherd</w:t>
      </w:r>
    </w:p>
    <w:p>
      <w:pPr>
        <w:spacing w:after="100"/>
      </w:pPr>
      <w:r>
        <w:rPr>
          <w:rFonts w:ascii="Arial" w:hAnsi="Arial"/>
          <w:sz w:val="20"/>
        </w:rPr>
        <w:t xml:space="preserve">Appellant, self-represented</w:t>
      </w:r>
    </w:p>
    <w:p>
      <w:r>
        <w:br w:type="page"/>
      </w:r>
    </w:p>
    <w:p>
      <w:pPr>
        <w:spacing w:after="100"/>
      </w:pPr>
      <w:r>
        <w:rPr>
          <w:rFonts w:ascii="Arial" w:hAnsi="Arial"/>
          <w:b/>
          <w:sz w:val="20"/>
        </w:rPr>
        <w:t xml:space="preserve">Schedule: the documents at Annexure A (notices to admit served 28 August 2026)</w:t>
      </w:r>
    </w:p>
    <w:p>
      <w:pPr>
        <w:spacing w:after="40"/>
      </w:pPr>
      <w:r>
        <w:rPr>
          <w:rFonts w:ascii="Arial" w:hAnsi="Arial"/>
          <w:b/>
          <w:sz w:val="20"/>
        </w:rPr>
        <w:t xml:space="preserve">Admitted, 8 September 2026 (25)</w:t>
      </w:r>
    </w:p>
    <w:p>
      <w:pPr>
        <w:spacing w:after="20"/>
        <w:ind w:left="284"/>
      </w:pPr>
      <w:r>
        <w:rPr>
          <w:rFonts w:ascii="Arial" w:hAnsi="Arial"/>
          <w:sz w:val="20"/>
        </w:rPr>
        <w:t xml:space="preserve">Tab 1A Stibbard, "Hello &amp; Update", 18 Jul 2023</w:t>
      </w:r>
    </w:p>
    <w:p>
      <w:pPr>
        <w:spacing w:after="20"/>
        <w:ind w:left="284"/>
      </w:pPr>
      <w:r>
        <w:rPr>
          <w:rFonts w:ascii="Arial" w:hAnsi="Arial"/>
          <w:sz w:val="20"/>
        </w:rPr>
        <w:t xml:space="preserve">Tab 1B Taylor to Reese, "Fwd: Communication Book Update", 6 Jun 2023</w:t>
      </w:r>
    </w:p>
    <w:p>
      <w:pPr>
        <w:spacing w:after="20"/>
        <w:ind w:left="284"/>
      </w:pPr>
      <w:r>
        <w:rPr>
          <w:rFonts w:ascii="Arial" w:hAnsi="Arial"/>
          <w:sz w:val="20"/>
        </w:rPr>
        <w:t xml:space="preserve">Tab 2 "Increase of hours and Workplace issues" chain, 7-10 Aug 2023</w:t>
      </w:r>
    </w:p>
    <w:p>
      <w:pPr>
        <w:spacing w:after="20"/>
        <w:ind w:left="284"/>
      </w:pPr>
      <w:r>
        <w:rPr>
          <w:rFonts w:ascii="Arial" w:hAnsi="Arial"/>
          <w:sz w:val="20"/>
        </w:rPr>
        <w:t xml:space="preserve">Tab 3 Reese, HR Policy E12 and emails, 29 Aug-8 Sep 2023</w:t>
      </w:r>
    </w:p>
    <w:p>
      <w:pPr>
        <w:spacing w:after="20"/>
        <w:ind w:left="284"/>
      </w:pPr>
      <w:r>
        <w:rPr>
          <w:rFonts w:ascii="Arial" w:hAnsi="Arial"/>
          <w:sz w:val="20"/>
        </w:rPr>
        <w:t xml:space="preserve">Tab 4 "Request to Increase Working Hours" and emails, 7 and 31 Aug 2023</w:t>
      </w:r>
    </w:p>
    <w:p>
      <w:pPr>
        <w:spacing w:after="20"/>
        <w:ind w:left="284"/>
      </w:pPr>
      <w:r>
        <w:rPr>
          <w:rFonts w:ascii="Arial" w:hAnsi="Arial"/>
          <w:sz w:val="20"/>
        </w:rPr>
        <w:t xml:space="preserve">Tab 7 "Roster Concerns" chain, 26 Apr-8 May 2024</w:t>
      </w:r>
    </w:p>
    <w:p>
      <w:pPr>
        <w:spacing w:after="20"/>
        <w:ind w:left="284"/>
      </w:pPr>
      <w:r>
        <w:rPr>
          <w:rFonts w:ascii="Arial" w:hAnsi="Arial"/>
          <w:sz w:val="20"/>
        </w:rPr>
        <w:t xml:space="preserve">Tab 8 Reese to Pritchard and to LBH_HR, 10 and 20 May 2024</w:t>
      </w:r>
    </w:p>
    <w:p>
      <w:pPr>
        <w:spacing w:after="20"/>
        <w:ind w:left="284"/>
      </w:pPr>
      <w:r>
        <w:rPr>
          <w:rFonts w:ascii="Arial" w:hAnsi="Arial"/>
          <w:sz w:val="20"/>
        </w:rPr>
        <w:t xml:space="preserve">Tab 8A QH-GDL-401-3.3 cover page, 2021</w:t>
      </w:r>
    </w:p>
    <w:p>
      <w:pPr>
        <w:spacing w:after="20"/>
        <w:ind w:left="284"/>
      </w:pPr>
      <w:r>
        <w:rPr>
          <w:rFonts w:ascii="Arial" w:hAnsi="Arial"/>
          <w:sz w:val="20"/>
        </w:rPr>
        <w:t xml:space="preserve">Tab 8B MASPER emails and issue logs, 2-9 May 2024</w:t>
      </w:r>
    </w:p>
    <w:p>
      <w:pPr>
        <w:spacing w:after="20"/>
        <w:ind w:left="284"/>
      </w:pPr>
      <w:r>
        <w:rPr>
          <w:rFonts w:ascii="Arial" w:hAnsi="Arial"/>
          <w:sz w:val="20"/>
        </w:rPr>
        <w:t xml:space="preserve">Tab 8C Stibbard on-call email, 13 May 2024</w:t>
      </w:r>
    </w:p>
    <w:p>
      <w:pPr>
        <w:spacing w:after="20"/>
        <w:ind w:left="284"/>
      </w:pPr>
      <w:r>
        <w:rPr>
          <w:rFonts w:ascii="Arial" w:hAnsi="Arial"/>
          <w:sz w:val="20"/>
        </w:rPr>
        <w:t xml:space="preserve">Tab 9 "Switchboard Manager - On call and Hours.", 17 May 2024</w:t>
      </w:r>
    </w:p>
    <w:p>
      <w:pPr>
        <w:spacing w:after="20"/>
        <w:ind w:left="284"/>
      </w:pPr>
      <w:r>
        <w:rPr>
          <w:rFonts w:ascii="Arial" w:hAnsi="Arial"/>
          <w:sz w:val="20"/>
        </w:rPr>
        <w:t xml:space="preserve">Tab 9A "Office Hours and Departmental Directives" chain, 15 May 2024</w:t>
      </w:r>
    </w:p>
    <w:p>
      <w:pPr>
        <w:spacing w:after="20"/>
        <w:ind w:left="284"/>
      </w:pPr>
      <w:r>
        <w:rPr>
          <w:rFonts w:ascii="Arial" w:hAnsi="Arial"/>
          <w:sz w:val="20"/>
        </w:rPr>
        <w:t xml:space="preserve">Tab 9B Reese reply, 21 May 2024</w:t>
      </w:r>
    </w:p>
    <w:p>
      <w:pPr>
        <w:spacing w:after="20"/>
        <w:ind w:left="284"/>
      </w:pPr>
      <w:r>
        <w:rPr>
          <w:rFonts w:ascii="Arial" w:hAnsi="Arial"/>
          <w:sz w:val="20"/>
        </w:rPr>
        <w:t xml:space="preserve">Tab 10 "Sick leave 14.05.24" and forwarding, 14-15 May 2024</w:t>
      </w:r>
    </w:p>
    <w:p>
      <w:pPr>
        <w:spacing w:after="20"/>
        <w:ind w:left="284"/>
      </w:pPr>
      <w:r>
        <w:rPr>
          <w:rFonts w:ascii="Arial" w:hAnsi="Arial"/>
          <w:sz w:val="20"/>
        </w:rPr>
        <w:t xml:space="preserve">Tab 11 Integrated Respiratory Service emails and replies, 15 and 20 May 2024</w:t>
      </w:r>
    </w:p>
    <w:p>
      <w:pPr>
        <w:spacing w:after="20"/>
        <w:ind w:left="284"/>
      </w:pPr>
      <w:r>
        <w:rPr>
          <w:rFonts w:ascii="Arial" w:hAnsi="Arial"/>
          <w:sz w:val="20"/>
        </w:rPr>
        <w:t xml:space="preserve">Tab 12 "Corey Shepherd 388372 Pay issues", 3-13 May 2024</w:t>
      </w:r>
    </w:p>
    <w:p>
      <w:pPr>
        <w:spacing w:after="20"/>
        <w:ind w:left="284"/>
      </w:pPr>
      <w:r>
        <w:rPr>
          <w:rFonts w:ascii="Arial" w:hAnsi="Arial"/>
          <w:sz w:val="20"/>
        </w:rPr>
        <w:t xml:space="preserve">Tab 13 Same thread, 21 May 2024</w:t>
      </w:r>
    </w:p>
    <w:p>
      <w:pPr>
        <w:spacing w:after="20"/>
        <w:ind w:left="284"/>
      </w:pPr>
      <w:r>
        <w:rPr>
          <w:rFonts w:ascii="Arial" w:hAnsi="Arial"/>
          <w:sz w:val="20"/>
        </w:rPr>
        <w:t xml:space="preserve">Tab 14 "Validation of Claims older than 3 months", 28 May 2024</w:t>
      </w:r>
    </w:p>
    <w:p>
      <w:pPr>
        <w:spacing w:after="20"/>
        <w:ind w:left="284"/>
      </w:pPr>
      <w:r>
        <w:rPr>
          <w:rFonts w:ascii="Arial" w:hAnsi="Arial"/>
          <w:sz w:val="20"/>
        </w:rPr>
        <w:t xml:space="preserve">Tab 15 myHR submissions report, 1 Feb-31 May 2024</w:t>
      </w:r>
    </w:p>
    <w:p>
      <w:pPr>
        <w:spacing w:after="20"/>
        <w:ind w:left="284"/>
      </w:pPr>
      <w:r>
        <w:rPr>
          <w:rFonts w:ascii="Arial" w:hAnsi="Arial"/>
          <w:sz w:val="20"/>
        </w:rPr>
        <w:t xml:space="preserve">Tab 16 Leave Takings Report, 19 Mar 2024</w:t>
      </w:r>
    </w:p>
    <w:p>
      <w:pPr>
        <w:spacing w:after="20"/>
        <w:ind w:left="284"/>
      </w:pPr>
      <w:r>
        <w:rPr>
          <w:rFonts w:ascii="Arial" w:hAnsi="Arial"/>
          <w:sz w:val="20"/>
        </w:rPr>
        <w:t xml:space="preserve">Tab 25 Review Decision 69983, 24 Oct 2024</w:t>
      </w:r>
    </w:p>
    <w:p>
      <w:pPr>
        <w:spacing w:after="20"/>
        <w:ind w:left="284"/>
      </w:pPr>
      <w:r>
        <w:rPr>
          <w:rFonts w:ascii="Arial" w:hAnsi="Arial"/>
          <w:sz w:val="20"/>
        </w:rPr>
        <w:t xml:space="preserve">Tab 26 Appellant's first notice to admit facts</w:t>
      </w:r>
    </w:p>
    <w:p>
      <w:pPr>
        <w:spacing w:after="20"/>
        <w:ind w:left="284"/>
      </w:pPr>
      <w:r>
        <w:rPr>
          <w:rFonts w:ascii="Arial" w:hAnsi="Arial"/>
          <w:sz w:val="20"/>
        </w:rPr>
        <w:t xml:space="preserve">Tab 27 Respondent's response, 18 Feb 2026</w:t>
      </w:r>
    </w:p>
    <w:p>
      <w:pPr>
        <w:spacing w:after="20"/>
        <w:ind w:left="284"/>
      </w:pPr>
      <w:r>
        <w:rPr>
          <w:rFonts w:ascii="Arial" w:hAnsi="Arial"/>
          <w:sz w:val="20"/>
        </w:rPr>
        <w:t xml:space="preserve">Tab 28 myHR leave request history 15480560, 20 Feb-1 Mar 2024</w:t>
      </w:r>
    </w:p>
    <w:p>
      <w:pPr>
        <w:spacing w:after="20"/>
        <w:ind w:left="284"/>
      </w:pPr>
      <w:r>
        <w:rPr>
          <w:rFonts w:ascii="Arial" w:hAnsi="Arial"/>
          <w:sz w:val="20"/>
        </w:rPr>
        <w:t xml:space="preserve">Tab 29 Instrument of Sub-Delegation, eff. 5 Dec 2022</w:t>
      </w:r>
    </w:p>
    <w:p>
      <w:pPr>
        <w:spacing w:after="40"/>
      </w:pPr>
      <w:r>
        <w:rPr>
          <w:rFonts w:ascii="Arial" w:hAnsi="Arial"/>
          <w:b/>
          <w:sz w:val="20"/>
        </w:rPr>
        <w:t xml:space="preserve">Disputed 8 September 2026; confirmed by the Respondent 23 September 2026 (4)</w:t>
      </w:r>
    </w:p>
    <w:p>
      <w:pPr>
        <w:spacing w:after="20"/>
        <w:ind w:left="284"/>
      </w:pPr>
      <w:r>
        <w:rPr>
          <w:rFonts w:ascii="Arial" w:hAnsi="Arial"/>
          <w:sz w:val="20"/>
        </w:rPr>
        <w:t xml:space="preserve">Tab 6 Taylor, "Afterhours Oncall Process - Switchboard", 15 Apr 2024</w:t>
      </w:r>
    </w:p>
    <w:p>
      <w:pPr>
        <w:spacing w:after="20"/>
        <w:ind w:left="284"/>
      </w:pPr>
      <w:r>
        <w:rPr>
          <w:rFonts w:ascii="Arial" w:hAnsi="Arial"/>
          <w:sz w:val="20"/>
        </w:rPr>
        <w:t xml:space="preserve">Tab 20 Metro South to Commissioner Dwyer, K-LM26/729, 5 Jun 2026</w:t>
      </w:r>
    </w:p>
    <w:p>
      <w:pPr>
        <w:spacing w:after="20"/>
        <w:ind w:left="284"/>
      </w:pPr>
      <w:r>
        <w:rPr>
          <w:rFonts w:ascii="Arial" w:hAnsi="Arial"/>
          <w:sz w:val="20"/>
        </w:rPr>
        <w:t xml:space="preserve">Tab 30 Taylor, "What's Chloe's Hours?!", 23 Aug 2023</w:t>
      </w:r>
    </w:p>
    <w:p>
      <w:pPr>
        <w:spacing w:after="20"/>
        <w:ind w:left="284"/>
      </w:pPr>
      <w:r>
        <w:rPr>
          <w:rFonts w:ascii="Arial" w:hAnsi="Arial"/>
          <w:sz w:val="20"/>
        </w:rPr>
        <w:t xml:space="preserve">Tab 30A Taylor, "Good morning Team.", 18 Jun 2024</w:t>
      </w:r>
    </w:p>
    <w:p>
      <w:pPr>
        <w:spacing w:after="40"/>
      </w:pPr>
      <w:r>
        <w:rPr>
          <w:rFonts w:ascii="Arial" w:hAnsi="Arial"/>
          <w:b/>
          <w:sz w:val="20"/>
        </w:rPr>
        <w:t xml:space="preserve">Disputed 8 September 2026; referred by the Respondent to Metro South 23 September 2026 (9) - contents admitted at the facts shown</w:t>
      </w:r>
    </w:p>
    <w:p>
      <w:pPr>
        <w:spacing w:after="20"/>
        <w:ind w:left="284"/>
      </w:pPr>
      <w:r>
        <w:rPr>
          <w:rFonts w:ascii="Arial" w:hAnsi="Arial"/>
          <w:sz w:val="20"/>
        </w:rPr>
        <w:t xml:space="preserve">Tab 1 Role description, AO3 Switchboard Services, undated (facts 1-13)</w:t>
      </w:r>
    </w:p>
    <w:p>
      <w:pPr>
        <w:spacing w:after="20"/>
        <w:ind w:left="284"/>
      </w:pPr>
      <w:r>
        <w:rPr>
          <w:rFonts w:ascii="Arial" w:hAnsi="Arial"/>
          <w:sz w:val="20"/>
        </w:rPr>
        <w:t xml:space="preserve">Tab 5 Taylor, "Approved - Permanent Full Time FTE", 27 Sep 2023 (37-38)</w:t>
      </w:r>
    </w:p>
    <w:p>
      <w:pPr>
        <w:spacing w:after="20"/>
        <w:ind w:left="284"/>
      </w:pPr>
      <w:r>
        <w:rPr>
          <w:rFonts w:ascii="Arial" w:hAnsi="Arial"/>
          <w:sz w:val="20"/>
        </w:rPr>
        <w:t xml:space="preserve">Tab 17, 18, 19 Movement forms signed by Mr Hughes, 27 Feb, 17 Apr, 9 Jun 2026 (14-15)</w:t>
      </w:r>
    </w:p>
    <w:p>
      <w:pPr>
        <w:spacing w:after="20"/>
        <w:ind w:left="284"/>
      </w:pPr>
      <w:r>
        <w:rPr>
          <w:rFonts w:ascii="Arial" w:hAnsi="Arial"/>
          <w:sz w:val="20"/>
        </w:rPr>
        <w:t xml:space="preserve">Tab 21 Forrest (HR) to the Appellant, 7 Jul 2026 (224-225)</w:t>
      </w:r>
    </w:p>
    <w:p>
      <w:pPr>
        <w:spacing w:after="20"/>
        <w:ind w:left="284"/>
      </w:pPr>
      <w:r>
        <w:rPr>
          <w:rFonts w:ascii="Arial" w:hAnsi="Arial"/>
          <w:sz w:val="20"/>
        </w:rPr>
        <w:t xml:space="preserve">Tab 22 Consultation Paper, Proposed Rosters, signed by Mr Hughes 12 Nov 2024 (169-175)</w:t>
      </w:r>
    </w:p>
    <w:p>
      <w:pPr>
        <w:spacing w:after="20"/>
        <w:ind w:left="284"/>
      </w:pPr>
      <w:r>
        <w:rPr>
          <w:rFonts w:ascii="Arial" w:hAnsi="Arial"/>
          <w:sz w:val="20"/>
        </w:rPr>
        <w:t xml:space="preserve">Tab 23 Consultation outcome, signed by Mr Hughes 12 Dec 2024 (167-168, 176-177)</w:t>
      </w:r>
    </w:p>
    <w:p>
      <w:pPr>
        <w:spacing w:after="20"/>
        <w:ind w:left="284"/>
      </w:pPr>
      <w:r>
        <w:rPr>
          <w:rFonts w:ascii="Arial" w:hAnsi="Arial"/>
          <w:sz w:val="20"/>
        </w:rPr>
        <w:t xml:space="preserve">Tab 31 "2024 Emergency Code Register", March 2024 sheet, 16-20 Mar 2024 (228-231 not admitted)</w:t>
      </w:r>
    </w:p>
    <w:p>
      <w:pPr>
        <w:spacing w:after="40"/>
      </w:pPr>
      <w:r>
        <w:rPr>
          <w:rFonts w:ascii="Arial" w:hAnsi="Arial"/>
          <w:b/>
          <w:sz w:val="20"/>
        </w:rPr>
        <w:t xml:space="preserve">Disputed 8 September 2026; not addressed by the Respondent on 23 September 2026 (1)</w:t>
      </w:r>
    </w:p>
    <w:p>
      <w:pPr>
        <w:spacing w:after="20"/>
        <w:ind w:left="284"/>
      </w:pPr>
      <w:r>
        <w:rPr>
          <w:rFonts w:ascii="Arial" w:hAnsi="Arial"/>
          <w:sz w:val="20"/>
        </w:rPr>
        <w:t xml:space="preserve">Tab 24 Moran (Together Queensland), "Switchboard Roster Feedback - For Delegates", 3 Nov 2025 (178-179)</w:t>
      </w:r>
    </w:p>
    <w:p>
      <w:pPr>
        <w:spacing w:after="100"/>
      </w:pPr>
      <w:r>
        <w:rPr>
          <w:rFonts w:ascii="Arial" w:hAnsi="Arial"/>
          <w:sz w:val="20"/>
        </w:rPr>
        <w:t xml:space="preserve"/>
      </w:r>
    </w:p>
    <w:p>
      <w:pPr>
        <w:spacing w:after="100"/>
      </w:pPr>
      <w:r>
        <w:rPr>
          <w:rFonts w:ascii="Arial" w:hAnsi="Arial"/>
          <w:sz w:val="20"/>
        </w:rPr>
        <w:t xml:space="preserve">Enclosure: Second Amended Statement of Facts and Contentions (Form 9A), 19 pages.</w:t>
      </w:r>
    </w:p>
    <w:sectPr>
      <w:pgSz w:w="11906" w:h="16838"/>
      <w:pgMar w:top="1000" w:right="1000" w:bottom="900" w:left="1000" w:header="708" w:footer="708" w:gutter="0"/>
    </w:sectPr>
  </w:body>
</w:document>
</file>