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and dated particulars. </w:t>
      </w:r>
      <w:r>
        <w:rPr>
          <w:rFonts w:ascii="Arial" w:hAnsi="Arial" w:cs="Arial"/>
          <w:b w:val="0"/>
          <w:sz w:val="20"/>
          <w:szCs w:val="20"/>
        </w:rPr>
        <w:t>WC/2024/227 - Cory Lea Shepherd v Workers' Compensation Regulator. The list identifies the individual events and issues under the three themes for the purposes of Part 4.8 of the Workers' Compensation Appeal Guide. Descriptions identify material already pleaded as context only or as later evidence; those entries do not add causes of injury.</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Event or issue</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 and the days that followed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Complaint and distribution chronology; context only, with no separate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and completed; its relation to the errors needs identification.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with HR and attached the fatigue guideline; related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adjustments for 28 February, 30 March and 1 April.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later amendment and pay date; evidence of the earlier correction history.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Rest was offered after an acknowledged error; the Appellant proposed increased hours.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Reese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recorded personal fatigue concerns, a moderate rating and an undisclosed roster decision.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Reese followed up her earlier query and attached the guideline.</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and 1(j) to 1(l). Particulars 1(a), 1(c), 1(e) and 1(i)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That reply was sent five days, eighteen hours and fourteen minutes after the first email. [¶¶ 62 to 64]</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So the sequence at the console was: the first report on 3 May 2024, a second on 8 May (the fifth calendar day after the first), nine occasions in all, a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and the days that followed - chronology only (13 to 21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2026 (Schedule, Part 2)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1(l). [¶¶ 74 to 77] The Respondent's outline of Ms Taylor's evidence, served 24 September 2026, states that, acting on HR's advice, she removed the email of 15 May 2024 from the shared Switchboard inbox. On 21 May 2024 at 2:53 pm the Director asked which changes or directives had concerned him. [¶¶ 79 to 80]</w:t>
      </w:r>
    </w:p>
    <w:p>
      <w:pPr>
        <w:spacing w:before="0" w:after="100" w:line="264" w:lineRule="auto"/>
      </w:pPr>
      <w:r>
        <w:rPr>
          <w:rFonts w:ascii="Arial" w:hAnsi="Arial" w:cs="Arial"/>
          <w:b/>
          <w:sz w:val="20"/>
          <w:szCs w:val="20"/>
        </w:rPr>
        <w:t xml:space="preserve">1(j) On-call roster and absence notification instructions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1(a), 1(c), 1(e) and 1(i),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and 1(j) to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Particulars 2(a) to 2(j) and 2(l) to 2(n) identify the entitlement and correction events before the certified injury date. Particular 2(k) is the related HR follow-up. Particular 2(o) records a later correction of the earlier error, not an additional cause arising in 2025.</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(5 June 2024). </w:t>
      </w:r>
      <w:r>
        <w:rPr>
          <w:rFonts w:ascii="Arial" w:hAnsi="Arial" w:cs="Arial"/>
          <w:b w:val="0"/>
          <w:sz w:val="20"/>
          <w:szCs w:val="20"/>
        </w:rPr>
        <w:t>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b/>
          <w:sz w:val="20"/>
          <w:szCs w:val="20"/>
        </w:rPr>
        <w:t xml:space="preserve">2(o) Later correction of the 9 February shift (30 June to 2 July 2025). </w:t>
      </w:r>
      <w:r>
        <w:rPr>
          <w:rFonts w:ascii="Arial" w:hAnsi="Arial" w:cs="Arial"/>
          <w:b w:val="0"/>
          <w:sz w:val="20"/>
          <w:szCs w:val="20"/>
        </w:rPr>
        <w:t>The shift of 9 February 2024 was not corrected on Payslip 06, pay date 5 June 2024.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 supporting records and 3, supporting fatigue records and are repeated here.</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sz w:val="20"/>
          <w:szCs w:val="20"/>
        </w:rPr>
        <w:t>The agreement of 17 June 2020, the Appellant's submission that it "was no longer fit for purpose" after his transition, and the surrounding matters as to it are pleaded under the agreement heading above. [¶¶ 17 to 25]</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On 8 May 2024 at 9:08 am the Director replied that she was following up with HR for further advice and would get back to him as soon as possible. [¶ 217]</w:t>
      </w:r>
    </w:p>
    <w:p>
      <w:pPr>
        <w:spacing w:before="0" w:after="100" w:line="264" w:lineRule="auto"/>
      </w:pPr>
      <w:r>
        <w:rPr>
          <w:rFonts w:ascii="Arial" w:hAnsi="Arial" w:cs="Arial"/>
          <w:b/>
          <w:sz w:val="20"/>
          <w:szCs w:val="20"/>
        </w:rPr>
        <w:t xml:space="preserve">3(g) Risk rating and roster decision recorded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Beyond the agreement and the sick-leave matters at 3(c),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spacing w:before="80" w:after="140" w:line="264" w:lineRule="auto"/>
      </w:pPr>
      <w:r>
        <w:rPr>
          <w:rFonts w:ascii="Arial" w:hAnsi="Arial" w:cs="Arial"/>
          <w:b/>
          <w:sz w:val="20"/>
          <w:szCs w:val="20"/>
        </w:rPr>
        <w:t xml:space="preserve">The medical case as a whole. </w:t>
      </w:r>
      <w:r>
        <w:rPr>
          <w:rFonts w:ascii="Arial" w:hAnsi="Arial" w:cs="Arial"/>
          <w:sz w:val="20"/>
          <w:szCs w:val="20"/>
        </w:rPr>
        <w:t>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reply at 4:30 pm, two hours after the office hours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To the extent those circumstances are not management action and were a significant contributing factor, the injury did not arise out of management action, and section 32(5)(a) does not exclude it (paragraphs 6 and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particulars in the list of stressors, and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each particular or circumstance that is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