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 1 to 4, 13]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in Stressor 3(h) is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renews a referral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Emergency codes were received and paged through the console throughout the day (Stressor 3(h) below).</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b/>
          <w:sz w:val="20"/>
          <w:szCs w:val="20"/>
        </w:rPr>
        <w:t xml:space="preserve">(m)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(n)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and (l)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(m).</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1(l).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Separate estimates of time awake, travel, sleep and workload are not part of the admitted facts and are not pleaded.</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Matters after the date of injury are not relied on as causes of it and are not pleaded.</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1(m)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the Appellant is legally represented, an award of up to 1.5 times those amounts under section 191(3), in total or for any item, having regard to: (a) the work involved: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an appeal about a psychological injury under section 32(5)(a), which requires each pleaded circumstance to be classified, a finding on the reasonableness of each that is management action, and the weighing of the whole.</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