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role, and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sz w:val="20"/>
          <w:szCs w:val="20"/>
        </w:rPr>
        <w:t xml:space="preserve">Set out in the form required by Part 4.8 of the Workers' Compensation Appeal Guide. Each stressor is pleaded in full below; the summary that follows the list gives the admissions on which each rests.</w:t>
      </w:r>
    </w:p>
    <w:tbl>
      <w:tblPr>
        <w:tblW w:w="9638" w:type="dxa"/>
        <w:tblBorders>
          <w:top w:val="single" w:sz="4"/>
          <w:left w:val="single" w:sz="4"/>
          <w:bottom w:val="single" w:sz="4"/>
          <w:right w:val="single" w:sz="4"/>
          <w:insideH w:val="single" w:sz="4"/>
          <w:insideV w:val="single" w:sz="4"/>
        </w:tblBorders>
      </w:tblPr>
      <w:tblGrid>
        <w:gridCol w:w="578"/>
        <w:gridCol w:w="1927"/>
        <w:gridCol w:w="1927"/>
        <w:gridCol w:w="5204"/>
      </w:tblGrid>
      <w:tr>
        <w:trPr>
          <w:tblHeader/>
        </w:trPr>
        <w:tc>
          <w:tcPr>
            <w:shd w:val="clear" w:color="auto" w:fill="E9E9E9"/>
          </w:tcPr>
          <w:p>
            <w:pPr>
              <w:spacing w:after="0"/>
            </w:pPr>
            <w:r>
              <w:rPr>
                <w:rFonts w:ascii="Arial" w:hAnsi="Arial" w:cs="Arial"/>
                <w:b/>
                <w:sz w:val="17"/>
                <w:szCs w:val="17"/>
              </w:rPr>
              <w:t xml:space="preserve">No.</w:t>
            </w:r>
          </w:p>
        </w:tc>
        <w:tc>
          <w:tcPr>
            <w:shd w:val="clear" w:color="auto" w:fill="E9E9E9"/>
          </w:tcPr>
          <w:p>
            <w:pPr>
              <w:spacing w:after="0"/>
            </w:pPr>
            <w:r>
              <w:rPr>
                <w:rFonts w:ascii="Arial" w:hAnsi="Arial" w:cs="Arial"/>
                <w:b/>
                <w:sz w:val="17"/>
                <w:szCs w:val="17"/>
              </w:rPr>
              <w:t xml:space="preserve">Date or date range</w:t>
            </w:r>
          </w:p>
        </w:tc>
        <w:tc>
          <w:tcPr>
            <w:shd w:val="clear" w:color="auto" w:fill="E9E9E9"/>
          </w:tcPr>
          <w:p>
            <w:pPr>
              <w:spacing w:after="0"/>
            </w:pPr>
            <w:r>
              <w:rPr>
                <w:rFonts w:ascii="Arial" w:hAnsi="Arial" w:cs="Arial"/>
                <w:b/>
                <w:sz w:val="17"/>
                <w:szCs w:val="17"/>
              </w:rPr>
              <w:t xml:space="preserve">Title</w:t>
            </w:r>
          </w:p>
        </w:tc>
        <w:tc>
          <w:tcPr>
            <w:shd w:val="clear" w:color="auto" w:fill="E9E9E9"/>
          </w:tcPr>
          <w:p>
            <w:pPr>
              <w:spacing w:after="0"/>
            </w:pPr>
            <w:r>
              <w:rPr>
                <w:rFonts w:ascii="Arial" w:hAnsi="Arial" w:cs="Arial"/>
                <w:b/>
                <w:sz w:val="17"/>
                <w:szCs w:val="17"/>
              </w:rPr>
              <w:t xml:space="preserve">Description</w:t>
            </w:r>
          </w:p>
        </w:tc>
      </w:tr>
      <w:tr>
        <w:tc>
          <w:tcPr/>
          <w:p>
            <w:pPr>
              <w:spacing w:after="0"/>
            </w:pPr>
            <w:r>
              <w:rPr>
                <w:rFonts w:ascii="Arial" w:hAnsi="Arial" w:cs="Arial"/>
                <w:sz w:val="17"/>
                <w:szCs w:val="17"/>
              </w:rPr>
              <w:t xml:space="preserve">1</w:t>
            </w:r>
          </w:p>
        </w:tc>
        <w:tc>
          <w:tcPr/>
          <w:p>
            <w:pPr>
              <w:spacing w:after="0"/>
            </w:pPr>
            <w:r>
              <w:rPr>
                <w:rFonts w:ascii="Arial" w:hAnsi="Arial" w:cs="Arial"/>
                <w:sz w:val="17"/>
                <w:szCs w:val="17"/>
              </w:rPr>
              <w:t xml:space="preserve">18 July 2023 to 18 June 2024</w:t>
            </w:r>
          </w:p>
        </w:tc>
        <w:tc>
          <w:tcPr/>
          <w:p>
            <w:pPr>
              <w:spacing w:after="0"/>
            </w:pPr>
            <w:r>
              <w:rPr>
                <w:rFonts w:ascii="Arial" w:hAnsi="Arial" w:cs="Arial"/>
                <w:sz w:val="17"/>
                <w:szCs w:val="17"/>
              </w:rPr>
              <w:t xml:space="preserve">The conditions in which the work was carried on</w:t>
            </w:r>
          </w:p>
        </w:tc>
        <w:tc>
          <w:tcPr/>
          <w:p>
            <w:pPr>
              <w:spacing w:after="0"/>
            </w:pPr>
            <w:r>
              <w:rPr>
                <w:rFonts w:ascii="Arial" w:hAnsi="Arial" w:cs="Arial"/>
                <w:sz w:val="17"/>
                <w:szCs w:val="17"/>
              </w:rPr>
              <w:t xml:space="preserve">Database access removed and not restored; changes to process effective the day they were notified, with no listed record of consultation; emergency calls misdirected and the directory not corrected; the manager's office hours not stated for nine months.</w:t>
            </w:r>
          </w:p>
        </w:tc>
      </w:tr>
      <w:tr>
        <w:tc>
          <w:tcPr/>
          <w:p>
            <w:pPr>
              <w:spacing w:after="0"/>
            </w:pPr>
            <w:r>
              <w:rPr>
                <w:rFonts w:ascii="Arial" w:hAnsi="Arial" w:cs="Arial"/>
                <w:sz w:val="17"/>
                <w:szCs w:val="17"/>
              </w:rPr>
              <w:t xml:space="preserve">2</w:t>
            </w:r>
          </w:p>
        </w:tc>
        <w:tc>
          <w:tcPr/>
          <w:p>
            <w:pPr>
              <w:spacing w:after="0"/>
            </w:pPr>
            <w:r>
              <w:rPr>
                <w:rFonts w:ascii="Arial" w:hAnsi="Arial" w:cs="Arial"/>
                <w:sz w:val="17"/>
                <w:szCs w:val="17"/>
              </w:rPr>
              <w:t xml:space="preserve">5 February 2024 to 5 June 2024; corrections to 2 July 2025</w:t>
            </w:r>
          </w:p>
        </w:tc>
        <w:tc>
          <w:tcPr/>
          <w:p>
            <w:pPr>
              <w:spacing w:after="0"/>
            </w:pPr>
            <w:r>
              <w:rPr>
                <w:rFonts w:ascii="Arial" w:hAnsi="Arial" w:cs="Arial"/>
                <w:sz w:val="17"/>
                <w:szCs w:val="17"/>
              </w:rPr>
              <w:t xml:space="preserve">Remuneration</w:t>
            </w:r>
          </w:p>
        </w:tc>
        <w:tc>
          <w:tcPr/>
          <w:p>
            <w:pPr>
              <w:spacing w:after="0"/>
            </w:pPr>
            <w:r>
              <w:rPr>
                <w:rFonts w:ascii="Arial" w:hAnsi="Arial" w:cs="Arial"/>
                <w:sz w:val="17"/>
                <w:szCs w:val="17"/>
              </w:rPr>
              <w:t xml:space="preserve">Pay wrong in four fortnights; Payroll's direction of 3 May 2024 not actioned at 13 May, still awaited on 21 May, lodged 28 May and recorded "Part Completed"; a paid leave entitlement declined twice on attachments the Respondent admits were present.</w:t>
            </w:r>
          </w:p>
        </w:tc>
      </w:tr>
      <w:tr>
        <w:tc>
          <w:tcPr/>
          <w:p>
            <w:pPr>
              <w:spacing w:after="0"/>
            </w:pPr>
            <w:r>
              <w:rPr>
                <w:rFonts w:ascii="Arial" w:hAnsi="Arial" w:cs="Arial"/>
                <w:sz w:val="17"/>
                <w:szCs w:val="17"/>
              </w:rPr>
              <w:t xml:space="preserve">3</w:t>
            </w:r>
          </w:p>
        </w:tc>
        <w:tc>
          <w:tcPr/>
          <w:p>
            <w:pPr>
              <w:spacing w:after="0"/>
            </w:pPr>
            <w:r>
              <w:rPr>
                <w:rFonts w:ascii="Arial" w:hAnsi="Arial" w:cs="Arial"/>
                <w:sz w:val="17"/>
                <w:szCs w:val="17"/>
              </w:rPr>
              <w:t xml:space="preserve">7 August 2023 to 1 May 2024; the shifts of 17 and 18 March 2024</w:t>
            </w:r>
          </w:p>
        </w:tc>
        <w:tc>
          <w:tcPr/>
          <w:p>
            <w:pPr>
              <w:spacing w:after="0"/>
            </w:pPr>
            <w:r>
              <w:rPr>
                <w:rFonts w:ascii="Arial" w:hAnsi="Arial" w:cs="Arial"/>
                <w:sz w:val="17"/>
                <w:szCs w:val="17"/>
              </w:rPr>
              <w:t xml:space="preserve">The roster and fatigue</w:t>
            </w:r>
          </w:p>
        </w:tc>
        <w:tc>
          <w:tcPr/>
          <w:p>
            <w:pPr>
              <w:spacing w:after="0"/>
            </w:pPr>
            <w:r>
              <w:rPr>
                <w:rFonts w:ascii="Arial" w:hAnsi="Arial" w:cs="Arial"/>
                <w:sz w:val="17"/>
                <w:szCs w:val="17"/>
              </w:rPr>
              <w:t xml:space="preserve">A seven-hour break rostered in that role against a minimum of ten hours, or eight by an agreement applying only to staff-initiated swaps; the fatigue enquiry answered after 23 days with a refusal; no fatigue risk management at the Switchboard before 30 June 2024; the Respondent's own review finding of unreasonable management action.</w:t>
            </w:r>
          </w:p>
        </w:tc>
      </w:tr>
    </w:tbl>
    <w:p>
      <w:pPr>
        <w:spacing w:after="60"/>
      </w:pP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pageBreakBefore/>
        <w:shd w:val="clear" w:color="auto" w:fill="E9E9E9"/>
        <w:spacing w:before="0" w:after="100" w:line="264" w:lineRule="auto"/>
      </w:pPr>
      <w:r>
        <w:rPr>
          <w:rFonts w:ascii="Arial" w:hAnsi="Arial" w:cs="Arial"/>
          <w:b/>
          <w:sz w:val="22"/>
          <w:szCs w:val="22"/>
        </w:rPr>
        <w:t xml:space="preserve">STRESSOR 1 - THE CONDITIONS IN WHICH THE WORK WAS CARRIED ON (18 JULY 2023 TO 18 JUNE 2024)</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In April 2025 the console took between 269 and 444 calls on an eight-hour shift (Stressor 3(h)(v) below); the Appellant's evidence is that the load in May 2024 was of the same order.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 xml:space="preserve">The rostering concern raised in August 2023 recurred, and the employer's own documents record it. 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(b) and are repeated here because they bear on this stressor.</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 xml:space="preserve">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 xml:space="preserve">Payroll's direction of 3 May 2024 to correct four fortnights had not been actioned on 13 May [¶¶ 192 to 193] and was still awaited on 21 May [¶¶ 194 to 195]; that sequence is pleaded at Stressor 2(c) and (e) and is repeated here as part of the conditions in which the work was carried on.</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2025 (Part B.7.5)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states that, acting on HR's advice, she removed the email of 15 May 2024 from the shared Switchboard inbox (Part B.6.1).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hd w:val="clear" w:color="auto" w:fill="E9E9E9"/>
        <w:spacing w:before="0" w:after="100" w:line="264" w:lineRule="auto"/>
      </w:pPr>
      <w:r>
        <w:rPr>
          <w:rFonts w:ascii="Arial" w:hAnsi="Arial" w:cs="Arial"/>
          <w:b/>
          <w:sz w:val="22"/>
          <w:szCs w:val="22"/>
        </w:rPr>
        <w:t xml:space="preserve">STRESSOR 2 - REMUNERATION (5 FEBRUARY 2024 TO 5 JUNE 2024; CORRECTIONS TO 2 JULY 2025)</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1(k) and 3(a) and are repeated here.</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3(j); no response to it is alleged between 9 April and 1 May, and it was answered after 23 days [¶¶ 249 to 250].</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1(m) and 3(l) and are repeated here.</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hd w:val="clear" w:color="auto" w:fill="E9E9E9"/>
        <w:spacing w:before="0" w:after="100" w:line="264" w:lineRule="auto"/>
      </w:pPr>
      <w:r>
        <w:rPr>
          <w:rFonts w:ascii="Arial" w:hAnsi="Arial" w:cs="Arial"/>
          <w:b/>
          <w:sz w:val="22"/>
          <w:szCs w:val="22"/>
        </w:rPr>
        <w:t xml:space="preserve">STRESSOR 3 - THE ROSTER AND FATIGUE (7 AUGUST 2023 TO 1 MAY 2024; THE SHIFTS OF 17 AND 18 MARCH 2024)</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2(e)(i). The break was rostered in a function the Respondent admits is critical to patient safety [¶ 289].</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(Part B.7.5).</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 xml:space="preserve">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while he held continuous medical certificates;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On 24 August 2026 he authorised the treating psychiatrist to communicate with the employer on his capacity for work. The psychiatrist wrote to the employer on 13 August 2026 and, on 19 August 2026, asked the basis of the request; as at 5 September 2026 that enquiry had not been answered. These are the Appellant's own evidence and are not relied on as causes of the injury.</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22"/>
        <w:gridCol w:w="1927"/>
        <w:gridCol w:w="1638"/>
        <w:gridCol w:w="1349"/>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has been notified as at 30 September 2026.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1(m)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 The Respondent's disclosure of 11 June 2025 (10 pages): the leave-form walkthrough for Process Reference 15480560, the emails of 15 May 2024 at 1:15 pm and 6:23 pm, the emails of 15 and 16 May 2024 concerning the complaint of 13 May 2024, and the complaint form; relied on at Stressor 1(n) for dates, senders and recipients only. Public documents relied on at Stressor 3: Queensland Health's Code Blue procedure 001443 (Royal Brisbane and Women's Hospital, version 5, April 2020), at 3(h)(i) for the types of Code Blue and the role of Switchboard Services; the Queensland Ombudsman's Neville Report (June 2006) and its 2011 update, and the Coroner's findings of 12 September 2008, at 3(l)(ii) for the origin of the fatigue framework; the monthly call statistics for April 2025, at 3(h)(v).</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 xml:space="preserve">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 xml:space="preserve">Does section 32(5)(b) of the Act exclude the injury, that is, did it arise out of, or in the course of, the Appellant's expectation or perception of reasonable management action being taken against him, rather than out of the admitted circumstances themselves?</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30 September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