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80"/>
        <w:jc w:val="center"/>
      </w:pPr>
      <w:r>
        <w:rPr>
          <w:rFonts w:ascii="Times New Roman" w:cs="Times New Roman" w:eastAsia="Times New Roman" w:hAnsi="Times New Roman"/>
          <w:b w:val="false"/>
          <w:bCs w:val="false"/>
          <w:i w:val="false"/>
          <w:iCs w:val="false"/>
          <w:sz w:val="22"/>
          <w:szCs w:val="22"/>
        </w:rPr>
        <w:t xml:space="preserve">Industrial Relations (Tribunals) Rules 2011 — rule 4(2)</w:t>
      </w:r>
    </w:p>
    <w:p>
      <w:pPr>
        <w:spacing w:after="40"/>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40"/>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40"/>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20"/>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60"/>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40" w:before="60"/>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 on terms the Appellant has himself narrowed, in one instance to the very scope MSH proposed — and to require verification of one answer that a document already before the Commission contradicts.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20" w:line="232"/>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20" w:line="232"/>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such further or other orders as the Commission considers appropriate.</w:t>
      </w:r>
    </w:p>
    <w:p>
      <w:pPr>
        <w:spacing w:after="40" w:before="60"/>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 in effect, leave under rule 64E(1) for objection at a later time — MSH was directed to provide any objections by 4:00 PM on 5 June 2026. MSH’s objection was served by email at 3:02 PM on 5 June 2026. Rule 64G(1) permits this application within seven days after service of the objection; it is made within that period. Rule 64F stays the Notice as to the documents objected to; this application brings the stayed Items before the Commission for decision.</w:t>
      </w:r>
    </w:p>
    <w:p>
      <w:pPr>
        <w:spacing w:after="40" w:before="60"/>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privacy (4(e)) and effect on a person (4(f)). Of these nine, the Appellant presses six, each on narrowed terms, and does not press three. None of the objections is put on the basis that the documents do not exist.</w:t>
      </w:r>
    </w:p>
    <w:p>
      <w:pPr>
        <w:spacing w:after="40" w:before="60"/>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64D)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 neither is the question at the disclosure stage.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 it extends to the course of conduct pleaded from June 2023 to June 2024 — and the records sought bear directly on that broader inquiry.</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 or any party —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 including causation as pleaded — heard and determined on the evidence that bears upon it, not on a restatement that reduces it to a single shift pairing.</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 and the degree, duration and density of the conduct said to have contributed to the injury —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 and the Appellant has done the narrowing himself. Schedule A confines every contested Item by custodian, system and date before the Commission is asked to rule.</w:t>
      </w:r>
    </w:p>
    <w:p>
      <w:pPr>
        <w:spacing w:after="40" w:before="60"/>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 a single Exchange mailbox custodian set, directory sign-in records, one access-control system —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34" w:line="232"/>
        <w:jc w:val="both"/>
      </w:pPr>
      <w:r>
        <w:rPr>
          <w:rFonts w:ascii="Times New Roman" w:cs="Times New Roman" w:eastAsia="Times New Roman" w:hAnsi="Times New Roman"/>
          <w:sz w:val="22"/>
          <w:szCs w:val="22"/>
        </w:rPr>
        <w:t xml:space="preserve">Nor is the subject matter of the Notice opposed to the value MSH invokes —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 Code Blue and MET calls —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40" w:before="60"/>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 in place of the seven-month, multi-account search the objection describes. The burden of a search so confined is modest, and rule 64I meets its cost.</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 which, on MSH’s own answer, was assigned only in November 2024 —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40" w:before="60"/>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34" w:line="232"/>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 internal email correspondence held by identified custodians, and complete records of administrative processes —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 two months before onset, and outside the “consecutive shifts of 17 to 18 March 2024” to which MSH would confine relevance. That the Respondent itself treats it as disclosable is inconsistent with the confined reading on which the objections depend.</w:t>
      </w:r>
    </w:p>
    <w:p>
      <w:pPr>
        <w:spacing w:after="40" w:before="60"/>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 a period that includes the consecutive shifts of 17–18 March 2024 and the pleaded onset of the injury. The records the Items seek go to the manner in which the rostering decisions were taken — whether any fatigue-management requirement governed the function within which those decisions were made —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40" w:before="60"/>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Appellant does not press the balance of Item 12 or Item 17. The privacy considerations MSH raises — sensitive health information of other staff, and re-identification risk within a small team —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40" w:before="60"/>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 including the Items 8–9 confidentiality regime, the Together Queensland notice mechanism, and liberty to apply as to mechanics — accompanies this application. The Appellant is content for the application to be determined on the papers, and seeks orders in the terms of the draft.</w:t>
      </w:r>
    </w:p>
    <w:p>
      <w:pPr>
        <w:spacing w:after="20" w:before="100"/>
      </w:pPr>
      <w:r>
        <w:rPr>
          <w:rFonts w:ascii="Times New Roman" w:cs="Times New Roman" w:eastAsia="Times New Roman" w:hAnsi="Times New Roman"/>
          <w:sz w:val="22"/>
          <w:szCs w:val="22"/>
        </w:rPr>
        <w:t xml:space="preserve">Name: Cory Lea Shepherd</w:t>
      </w:r>
    </w:p>
    <w:p>
      <w:pPr>
        <w:spacing w:after="20"/>
      </w:pPr>
      <w:r>
        <w:rPr>
          <w:rFonts w:ascii="Times New Roman" w:cs="Times New Roman" w:eastAsia="Times New Roman" w:hAnsi="Times New Roman"/>
          <w:sz w:val="22"/>
          <w:szCs w:val="22"/>
        </w:rPr>
        <w:t xml:space="preserve">Capacity: Appellant (Self-Represented)</w:t>
      </w:r>
    </w:p>
    <w:p>
      <w:pPr>
        <w:spacing w:after="20"/>
      </w:pPr>
      <w:r>
        <w:rPr>
          <w:rFonts w:ascii="Times New Roman" w:cs="Times New Roman" w:eastAsia="Times New Roman" w:hAnsi="Times New Roman"/>
          <w:sz w:val="22"/>
          <w:szCs w:val="22"/>
        </w:rPr>
        <w:t xml:space="preserve">Address for service: 15 Edmond Street, Coomera QLD 4209    Email: coryshepherd1@hotmail.com    Telephone: 0417 400 227</w:t>
      </w:r>
    </w:p>
    <w:p>
      <w:pPr>
        <w:spacing w:after="80"/>
      </w:pPr>
      <w:r>
        <w:rPr>
          <w:rFonts w:ascii="Times New Roman" w:cs="Times New Roman" w:eastAsia="Times New Roman" w:hAnsi="Times New Roman"/>
          <w:sz w:val="22"/>
          <w:szCs w:val="22"/>
        </w:rPr>
        <w:t xml:space="preserve">Dated: 12 June 2026</w:t>
      </w:r>
    </w:p>
    <w:p>
      <w:pPr>
        <w:spacing w:after="0"/>
      </w:pPr>
      <w:r>
        <w:drawing>
          <wp:inline xmlns:a="http://schemas.openxmlformats.org/drawingml/2006/main" xmlns:pic="http://schemas.openxmlformats.org/drawingml/2006/picture">
            <wp:extent cx="1440000" cy="1118897"/>
            <wp:docPr id="1" name="Picture 1"/>
            <wp:cNvGraphicFramePr>
              <a:graphicFrameLocks noChangeAspect="1"/>
            </wp:cNvGraphicFramePr>
            <a:graphic>
              <a:graphicData uri="http://schemas.openxmlformats.org/drawingml/2006/picture">
                <pic:pic>
                  <pic:nvPicPr>
                    <pic:cNvPr id="0" name="signature_rgba.png"/>
                    <pic:cNvPicPr/>
                  </pic:nvPicPr>
                  <pic:blipFill>
                    <a:blip r:embed="rId8"/>
                    <a:stretch>
                      <a:fillRect/>
                    </a:stretch>
                  </pic:blipFill>
                  <pic:spPr>
                    <a:xfrm>
                      <a:off x="0" y="0"/>
                      <a:ext cx="1440000" cy="1118897"/>
                    </a:xfrm>
                    <a:prstGeom prst="rect"/>
                  </pic:spPr>
                </pic:pic>
              </a:graphicData>
            </a:graphic>
          </wp:inline>
        </w:drawing>
      </w:r>
    </w:p>
    <w:p>
      <w:pPr>
        <w:spacing w:after="0" w:before="0"/>
      </w:pPr>
      <w:r>
        <w:rPr>
          <w:rFonts w:ascii="Times New Roman" w:cs="Times New Roman" w:eastAsia="Times New Roman" w:hAnsi="Times New Roman"/>
          <w:sz w:val="22"/>
          <w:szCs w:val="22"/>
        </w:rPr>
        <w:t xml:space="preserve">________________________________</w:t>
      </w:r>
    </w:p>
    <w:p>
      <w:pPr>
        <w:spacing w:after="0"/>
      </w:pPr>
      <w:r>
        <w:rPr>
          <w:rFonts w:ascii="Times New Roman" w:cs="Times New Roman" w:eastAsia="Times New Roman" w:hAnsi="Times New Roman"/>
          <w:sz w:val="22"/>
          <w:szCs w:val="22"/>
        </w:rPr>
        <w:t xml:space="preserve">CORY LEA SHEPHERD, Appellant (Self-Represented)</w:t>
      </w:r>
    </w:p>
    <w:p>
      <w:r>
        <w:br w:type="page"/>
      </w:r>
    </w:p>
    <w:p>
      <w:pPr>
        <w:spacing w:after="100"/>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32"/>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Documents recording operational or human-resources action taken during the period 13 May 2024 to 31 May 2024 — including any such action taken by, or reported to, the Director or members of the Logan Hospital Human Resources team —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jc w:val="center"/>
      </w:pPr>
      <w:r>
        <w:rPr>
          <w:rFonts w:ascii="Times New Roman" w:cs="Times New Roman" w:eastAsia="Times New Roman" w:hAnsi="Times New Roman"/>
          <w:b/>
          <w:bCs/>
          <w:i w:val="false"/>
          <w:iCs w:val="false"/>
          <w:sz w:val="22"/>
          <w:szCs w:val="22"/>
        </w:rPr>
        <w:t xml:space="preserve">ANNEXURE B — RELEVANCE MAP</w:t>
      </w:r>
    </w:p>
    <w:p>
      <w:pPr>
        <w:spacing w:after="100" w:line="232"/>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 that is,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 contents admitted, relevance reserved to the Commission); ¶¶42–45 (pay-disparity denial: “the roster was equitable”);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