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FORM 4 — APPLICATION IN EXISTING PROCEEDINGS</w:t>
      </w:r>
    </w:p>
    <w:p>
      <w:pPr>
        <w:spacing w:after="60"/>
        <w:jc w:val="center"/>
      </w:pPr>
      <w:r>
        <w:rPr>
          <w:rFonts w:ascii="Times New Roman" w:cs="Times New Roman" w:eastAsia="Times New Roman" w:hAnsi="Times New Roman"/>
          <w:i/>
          <w:iCs/>
          <w:sz w:val="24"/>
          <w:szCs w:val="24"/>
        </w:rPr>
        <w:t xml:space="preserve">Industrial Relations (Tribunals) Rules 2011</w:t>
      </w:r>
      <w:r>
        <w:rPr>
          <w:rFonts w:ascii="Times New Roman" w:cs="Times New Roman" w:eastAsia="Times New Roman" w:hAnsi="Times New Roman"/>
          <w:sz w:val="24"/>
          <w:szCs w:val="24"/>
        </w:rPr>
        <w:t xml:space="preserve"> — rule 4(2)</w:t>
      </w:r>
    </w:p>
    <w:p>
      <w:pPr>
        <w:spacing w:after="60" w:before="160"/>
        <w:jc w:val="center"/>
      </w:pPr>
      <w:r>
        <w:rPr>
          <w:rFonts w:ascii="Times New Roman" w:cs="Times New Roman" w:eastAsia="Times New Roman" w:hAnsi="Times New Roman"/>
          <w:b/>
          <w:bCs/>
          <w:sz w:val="24"/>
          <w:szCs w:val="24"/>
        </w:rPr>
        <w:t xml:space="preserve">QUEENSLAND INDUSTRIAL RELATIONS COMMISSION</w:t>
      </w:r>
    </w:p>
    <w:p>
      <w:pPr>
        <w:spacing w:after="60"/>
        <w:jc w:val="center"/>
      </w:pPr>
      <w:r>
        <w:rPr>
          <w:rFonts w:ascii="Times New Roman" w:cs="Times New Roman" w:eastAsia="Times New Roman" w:hAnsi="Times New Roman"/>
          <w:i/>
          <w:iCs/>
          <w:sz w:val="24"/>
          <w:szCs w:val="24"/>
        </w:rPr>
        <w:t xml:space="preserve">Workers’ Compensation and Rehabilitation Act 2003 (Qld)</w:t>
      </w:r>
    </w:p>
    <w:p>
      <w:pPr>
        <w:spacing w:after="60"/>
        <w:jc w:val="center"/>
      </w:pPr>
      <w:r>
        <w:rPr>
          <w:rFonts w:ascii="Times New Roman" w:cs="Times New Roman" w:eastAsia="Times New Roman" w:hAnsi="Times New Roman"/>
          <w:sz w:val="24"/>
          <w:szCs w:val="24"/>
        </w:rPr>
        <w:t xml:space="preserve">Matter No: WC/2024/227</w:t>
      </w:r>
    </w:p>
    <w:p>
      <w:pPr>
        <w:spacing w:after="60"/>
      </w:pPr>
      <w:r>
        <w:rPr>
          <w:rFonts w:ascii="Times New Roman" w:cs="Times New Roman" w:eastAsia="Times New Roman" w:hAnsi="Times New Roman"/>
          <w:sz w:val="24"/>
          <w:szCs w:val="24"/>
        </w:rPr>
        <w:t xml:space="preserve">BETWEEN:</w:t>
      </w:r>
    </w:p>
    <w:p>
      <w:pPr>
        <w:spacing w:after="60"/>
        <w:jc w:val="center"/>
      </w:pPr>
      <w:r>
        <w:rPr>
          <w:rFonts w:ascii="Times New Roman" w:cs="Times New Roman" w:eastAsia="Times New Roman" w:hAnsi="Times New Roman"/>
          <w:b/>
          <w:bCs/>
          <w:sz w:val="24"/>
          <w:szCs w:val="24"/>
        </w:rPr>
        <w:t xml:space="preserve">CORY LEA SHEPHERD</w:t>
      </w:r>
    </w:p>
    <w:p>
      <w:pPr>
        <w:spacing w:after="60"/>
        <w:jc w:val="center"/>
      </w:pPr>
      <w:r>
        <w:rPr>
          <w:rFonts w:ascii="Times New Roman" w:cs="Times New Roman" w:eastAsia="Times New Roman" w:hAnsi="Times New Roman"/>
          <w:i/>
          <w:iCs/>
          <w:sz w:val="24"/>
          <w:szCs w:val="24"/>
        </w:rPr>
        <w:t xml:space="preserve">(Appellant / Applicant)</w:t>
      </w:r>
    </w:p>
    <w:p>
      <w:pPr>
        <w:spacing w:after="60"/>
        <w:jc w:val="center"/>
      </w:pPr>
      <w:r>
        <w:rPr>
          <w:rFonts w:ascii="Times New Roman" w:cs="Times New Roman" w:eastAsia="Times New Roman" w:hAnsi="Times New Roman"/>
          <w:sz w:val="24"/>
          <w:szCs w:val="24"/>
        </w:rPr>
        <w:t xml:space="preserve">and</w:t>
      </w:r>
    </w:p>
    <w:p>
      <w:pPr>
        <w:spacing w:after="60"/>
        <w:jc w:val="center"/>
      </w:pPr>
      <w:r>
        <w:rPr>
          <w:rFonts w:ascii="Times New Roman" w:cs="Times New Roman" w:eastAsia="Times New Roman" w:hAnsi="Times New Roman"/>
          <w:b/>
          <w:bCs/>
          <w:sz w:val="24"/>
          <w:szCs w:val="24"/>
        </w:rPr>
        <w:t xml:space="preserve">WORKERS’ COMPENSATION REGULATOR</w:t>
      </w:r>
    </w:p>
    <w:p>
      <w:pPr>
        <w:spacing w:after="60"/>
        <w:jc w:val="center"/>
      </w:pPr>
      <w:r>
        <w:rPr>
          <w:rFonts w:ascii="Times New Roman" w:cs="Times New Roman" w:eastAsia="Times New Roman" w:hAnsi="Times New Roman"/>
          <w:i/>
          <w:iCs/>
          <w:sz w:val="24"/>
          <w:szCs w:val="24"/>
        </w:rPr>
        <w:t xml:space="preserve">(Respondent)</w:t>
      </w:r>
    </w:p>
    <w:p>
      <w:pPr>
        <w:spacing w:after="0" w:before="120"/>
        <w:jc w:val="center"/>
      </w:pPr>
      <w:r>
        <w:rPr>
          <w:rFonts w:ascii="Times New Roman" w:cs="Times New Roman" w:eastAsia="Times New Roman" w:hAnsi="Times New Roman"/>
          <w:sz w:val="24"/>
          <w:szCs w:val="24"/>
        </w:rPr>
        <w:t xml:space="preserve">Non-party to whom this application relates:</w:t>
      </w:r>
    </w:p>
    <w:p>
      <w:pPr>
        <w:spacing w:after="60"/>
        <w:jc w:val="center"/>
      </w:pPr>
      <w:r>
        <w:rPr>
          <w:rFonts w:ascii="Times New Roman" w:cs="Times New Roman" w:eastAsia="Times New Roman" w:hAnsi="Times New Roman"/>
          <w:b/>
          <w:bCs/>
          <w:sz w:val="24"/>
          <w:szCs w:val="24"/>
        </w:rPr>
        <w:t xml:space="preserve">METRO SOUTH HOSPITAL AND HEALTH SERVICE</w:t>
      </w:r>
    </w:p>
    <w:p>
      <w:pPr>
        <w:spacing w:after="120" w:before="240"/>
      </w:pPr>
      <w:r>
        <w:rPr>
          <w:rFonts w:ascii="Times New Roman" w:cs="Times New Roman" w:eastAsia="Times New Roman" w:hAnsi="Times New Roman"/>
          <w:b/>
          <w:bCs/>
          <w:sz w:val="24"/>
          <w:szCs w:val="24"/>
        </w:rPr>
        <w:t xml:space="preserve">1. Application</w:t>
      </w:r>
    </w:p>
    <w:p>
      <w:pPr>
        <w:spacing w:after="120" w:line="300"/>
        <w:jc w:val="both"/>
      </w:pPr>
      <w:r>
        <w:rPr>
          <w:rFonts w:ascii="Times New Roman" w:cs="Times New Roman" w:eastAsia="Times New Roman" w:hAnsi="Times New Roman"/>
          <w:sz w:val="24"/>
          <w:szCs w:val="24"/>
        </w:rPr>
        <w:t xml:space="preserve">TAKE NOTICE that the Appellant applies to the Commission under rule 64G(1) of the </w:t>
      </w:r>
      <w:r>
        <w:rPr>
          <w:rFonts w:ascii="Times New Roman" w:cs="Times New Roman" w:eastAsia="Times New Roman" w:hAnsi="Times New Roman"/>
          <w:i/>
          <w:iCs/>
          <w:sz w:val="24"/>
          <w:szCs w:val="24"/>
        </w:rPr>
        <w:t xml:space="preserve">Industrial Relations (Tribunals) Rules 2011</w:t>
      </w:r>
      <w:r>
        <w:rPr>
          <w:rFonts w:ascii="Times New Roman" w:cs="Times New Roman" w:eastAsia="Times New Roman" w:hAnsi="Times New Roman"/>
          <w:sz w:val="24"/>
          <w:szCs w:val="24"/>
        </w:rPr>
        <w:t xml:space="preserve"> for a decision about the objection of Metro South Hospital and Health Service (“MSH”) dated 5 June 2026 to the Appellant’s Form 29 Notice of Non-Party Disclosure sealed 22 April 2026 (“the Notice”).</w:t>
      </w:r>
    </w:p>
    <w:p>
      <w:pPr>
        <w:spacing w:after="120" w:before="240"/>
      </w:pPr>
      <w:r>
        <w:rPr>
          <w:rFonts w:ascii="Times New Roman" w:cs="Times New Roman" w:eastAsia="Times New Roman" w:hAnsi="Times New Roman"/>
          <w:b/>
          <w:bCs/>
          <w:sz w:val="24"/>
          <w:szCs w:val="24"/>
        </w:rPr>
        <w:t xml:space="preserve">2. Orders Sought</w:t>
      </w:r>
    </w:p>
    <w:p>
      <w:pPr>
        <w:pStyle w:val="ListParagraph"/>
        <w:numPr>
          <w:ilvl w:val="0"/>
          <w:numId w:val="2"/>
        </w:numPr>
        <w:spacing w:after="80" w:line="300"/>
        <w:jc w:val="both"/>
      </w:pPr>
      <w:r>
        <w:rPr>
          <w:rFonts w:ascii="Times New Roman" w:cs="Times New Roman" w:eastAsia="Times New Roman" w:hAnsi="Times New Roman"/>
          <w:sz w:val="24"/>
          <w:szCs w:val="24"/>
        </w:rPr>
        <w:t xml:space="preserve">The objections to Items 3(a), 3(b), 8, 9, 10 and 19 of the Notice are overruled, and MSH is to produce the documents described in Schedule A to this application within fourteen (14) days of the order.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MSH is to produce within fourteen (14) days the spreadsheet of recorded MET calls for the period 17–18 March 2024 identified in its response to Items 1 and 2 of the Notice.</w:t>
      </w:r>
    </w:p>
    <w:p>
      <w:pPr>
        <w:pStyle w:val="ListParagraph"/>
        <w:numPr>
          <w:ilvl w:val="0"/>
          <w:numId w:val="2"/>
        </w:numPr>
        <w:spacing w:after="80" w:line="300"/>
        <w:jc w:val="both"/>
      </w:pPr>
      <w:r>
        <w:rPr>
          <w:rFonts w:ascii="Times New Roman" w:cs="Times New Roman" w:eastAsia="Times New Roman" w:hAnsi="Times New Roman"/>
          <w:sz w:val="24"/>
          <w:szCs w:val="24"/>
        </w:rPr>
        <w:t xml:space="preserve">Pursuant to rule 64G(2), MSH is to verify by affidavit,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w:t>
      </w:r>
    </w:p>
    <w:p>
      <w:pPr>
        <w:pStyle w:val="ListParagraph"/>
        <w:numPr>
          <w:ilvl w:val="0"/>
          <w:numId w:val="2"/>
        </w:numPr>
        <w:spacing w:after="80" w:line="300"/>
        <w:jc w:val="both"/>
      </w:pPr>
      <w:r>
        <w:rPr>
          <w:rFonts w:ascii="Times New Roman" w:cs="Times New Roman" w:eastAsia="Times New Roman" w:hAnsi="Times New Roman"/>
          <w:sz w:val="24"/>
          <w:szCs w:val="24"/>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2"/>
        </w:numPr>
        <w:spacing w:after="80" w:line="300"/>
        <w:jc w:val="both"/>
      </w:pPr>
      <w:r>
        <w:rPr>
          <w:rFonts w:ascii="Times New Roman" w:cs="Times New Roman" w:eastAsia="Times New Roman" w:hAnsi="Times New Roman"/>
          <w:sz w:val="24"/>
          <w:szCs w:val="24"/>
        </w:rPr>
        <w:t xml:space="preserve">Items 12 (balance) and 17 of the Notice are not pressed.</w:t>
      </w:r>
    </w:p>
    <w:p>
      <w:pPr>
        <w:pStyle w:val="ListParagraph"/>
        <w:numPr>
          <w:ilvl w:val="0"/>
          <w:numId w:val="2"/>
        </w:numPr>
        <w:spacing w:after="80" w:line="300"/>
        <w:jc w:val="both"/>
      </w:pPr>
      <w:r>
        <w:rPr>
          <w:rFonts w:ascii="Times New Roman" w:cs="Times New Roman" w:eastAsia="Times New Roman" w:hAnsi="Times New Roman"/>
          <w:sz w:val="24"/>
          <w:szCs w:val="24"/>
        </w:rPr>
        <w:t xml:space="preserve">Each party bear its own costs of the application, in accordance with rule 64G(3).</w:t>
      </w:r>
    </w:p>
    <w:p>
      <w:pPr>
        <w:pStyle w:val="ListParagraph"/>
        <w:numPr>
          <w:ilvl w:val="0"/>
          <w:numId w:val="2"/>
        </w:numPr>
        <w:spacing w:after="80" w:line="300"/>
        <w:jc w:val="both"/>
      </w:pPr>
      <w:r>
        <w:rPr>
          <w:rFonts w:ascii="Times New Roman" w:cs="Times New Roman" w:eastAsia="Times New Roman" w:hAnsi="Times New Roman"/>
          <w:sz w:val="24"/>
          <w:szCs w:val="24"/>
        </w:rPr>
        <w:t xml:space="preserve">Such further or other orders as the Commission considers appropriate.</w:t>
      </w:r>
    </w:p>
    <w:p>
      <w:pPr>
        <w:spacing w:after="120" w:before="240"/>
      </w:pPr>
      <w:r>
        <w:rPr>
          <w:rFonts w:ascii="Times New Roman" w:cs="Times New Roman" w:eastAsia="Times New Roman" w:hAnsi="Times New Roman"/>
          <w:b/>
          <w:bCs/>
          <w:sz w:val="24"/>
          <w:szCs w:val="24"/>
        </w:rPr>
        <w:t xml:space="preserve">3. Grounds of the Application</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The Notice was sealed on 22 April 2026 and served on MSH at 5:08 PM that day. By direction issued from the Chambers of Commissioner Dwyer on 22 May 2026, MSH was directed to provide any objections by 4:00 PM on 5 June 2026. MSH’s objection, signed by its Chief Executive, was served by email at 3:02 PM on 5 June 2026. This application is made within seven days after service of the objection, as rule 64G(1) requires.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MSH’s response complies with Items 6, 11, 12 (in part), 13, 15 and 16; states that documents responsive to Items 1–2, 3(c), 4, 5, 7, 14 and 20 do not exist or are not in its possession; and objects under rule 64E(4) to Items 3(a), 3(b), 8, 9, 10, 12 (balance), 17, 18 and 19. The Appellant presses six of the nine objected Items, each on the narrowed terms in Schedule A, and does not press three. None of the objections is put on the basis that the documents do not exist; where that was MSH’s answer, the response says so in terms.</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The objections under rule 64E(4)(a) (expense and inconvenience) are answered by the narrowing in Schedule A, which confines each search to identified corporate systems, role-based custodians and defined date windows, and by rule 64I, which entitles MSH to its reasonable expenses of production. In the case of Item 19, the Schedule adopts without amendment the narrowing MSH itself proposed. The subject matter of the Notice is not opposed to the value those objections invoke: the pleaded role is the coordination of life-safety emergency codes, and the fatigue governance of that function is within the matter in issue.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The objections under rule 64E(4)(b), (c) and (f) to Item 9 are answered by the re-specification in Schedule A, which adopts MSH’s clarification that the Switchboard is collocated within an access-controlled office area, identifies the system and credential(s), and is confined to a defined window of 1 March to 30 June 2024 — with 16 to 19 March 2024 preserved as the irreducible period — relevant both to the consecutive shifts of 17–18 March 2024 admitted on the Form 24 and to the period of the operational complaints the subject of Items 3(a) and 3(b). The Appellant consents to production of Items 8 and 9 being made subject to such confidentiality directions as the Commission considers appropriate.</w:t>
      </w:r>
    </w:p>
    <w:p>
      <w:pPr>
        <w:pStyle w:val="ListParagraph"/>
        <w:numPr>
          <w:ilvl w:val="0"/>
          <w:numId w:val="3"/>
        </w:numPr>
        <w:spacing w:after="80" w:line="300"/>
        <w:jc w:val="both"/>
      </w:pPr>
      <w:r>
        <w:rPr>
          <w:rFonts w:ascii="Times New Roman" w:cs="Times New Roman" w:eastAsia="Times New Roman" w:hAnsi="Times New Roman"/>
          <w:sz w:val="24"/>
          <w:szCs w:val="24"/>
        </w:rPr>
        <w:t xml:space="preserve">So far as the objections test relevance against a matter in issue confined to the “consecutive shifts of 17 to 18 March 2024”, they proceed from a restatement of the Notice. The Notice states the matter in issue as a psychiatric injury with onset in June 2024 and a defence under s 32(5)(a) of the </w:t>
      </w:r>
      <w:r>
        <w:rPr>
          <w:rFonts w:ascii="Times New Roman" w:cs="Times New Roman" w:eastAsia="Times New Roman" w:hAnsi="Times New Roman"/>
          <w:i/>
          <w:iCs/>
          <w:sz w:val="24"/>
          <w:szCs w:val="24"/>
        </w:rPr>
        <w:t xml:space="preserve">Workers’ Compensation and Rehabilitation Act 2003</w:t>
      </w:r>
      <w:r>
        <w:rPr>
          <w:rFonts w:ascii="Times New Roman" w:cs="Times New Roman" w:eastAsia="Times New Roman" w:hAnsi="Times New Roman"/>
          <w:sz w:val="24"/>
          <w:szCs w:val="24"/>
        </w:rPr>
        <w:t xml:space="preserve"> which, as the Notice records, the Respondent carries the onus of proving — that management action over the pleaded period was reasonable and was taken in a reasonable way. Whether documents are relevant, where an objection is contested, is for the Commission to decide under rule 64G. The cause of a psychiatric injury is not a matter on which a non-party holds insight; the degree and duration of the pleaded stressors are themselves facts in issue under s 32(5)(a), and records evidencing them are relevant for that reason. So far as the elements of s 32(1) remain to be established at hearing, the Appellant accepts that he carries that onus and seeks to discharge it on records of fact rather than contested recollection; the documents sought serve that purpose whichever way they fall. The Appellant’s entitlement is to have the case as pleaded heard on the evidence that bears upon it, not reduced to a single shift pairing.</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The statements that documents do not exist or are not in MSH’s possession are answers rather than objections. An order under rule 64G(2) that those answers be verified by affidavit is a proportionate means of giving them an evidentiary form on which the parties and the Commission can act.</w:t>
      </w:r>
    </w:p>
    <w:p>
      <w:pPr>
        <w:pStyle w:val="ListParagraph"/>
        <w:numPr>
          <w:ilvl w:val="0"/>
          <w:numId w:val="3"/>
        </w:numPr>
        <w:spacing w:after="80" w:line="300"/>
        <w:jc w:val="both"/>
      </w:pPr>
      <w:r>
        <w:rPr>
          <w:rFonts w:ascii="Times New Roman" w:cs="Times New Roman" w:eastAsia="Times New Roman" w:hAnsi="Times New Roman"/>
          <w:sz w:val="24"/>
          <w:szCs w:val="24"/>
        </w:rPr>
        <w:t xml:space="preserve">The grounds are developed in the Appellant’s Outline of Submissions filed with this application. The Notice, the direction of 22 May 2026 and MSH’s response of 5 June 2026 are already before the Commission. The Appellant is content for the application to be determined on the papers if the Commission considers that course convenient.</w:t>
      </w:r>
    </w:p>
    <w:p>
      <w:pPr>
        <w:spacing w:after="120" w:before="240"/>
      </w:pPr>
      <w:r>
        <w:rPr>
          <w:rFonts w:ascii="Times New Roman" w:cs="Times New Roman" w:eastAsia="Times New Roman" w:hAnsi="Times New Roman"/>
          <w:b/>
          <w:bCs/>
          <w:sz w:val="24"/>
          <w:szCs w:val="24"/>
        </w:rPr>
        <w:t xml:space="preserve">4. Material Relied Upon</w:t>
      </w:r>
    </w:p>
    <w:p>
      <w:pPr>
        <w:spacing w:after="120" w:line="300"/>
        <w:jc w:val="both"/>
      </w:pPr>
      <w:r>
        <w:rPr>
          <w:rFonts w:ascii="Times New Roman" w:cs="Times New Roman" w:eastAsia="Times New Roman" w:hAnsi="Times New Roman"/>
          <w:sz w:val="24"/>
          <w:szCs w:val="24"/>
        </w:rPr>
        <w:t xml:space="preserve">The Appellant relies upon: (a) the Form 29 Notice of Non-Party Disclosure sealed 22 April 2026; (b) the direction issued from Chambers on 22 May 2026; (c) MSH’s correspondence to Commissioner Dwyer dated 5 June 2026, including its enclosures; and (d) the Appellant’s Outline of Submissions filed with this application.</w:t>
      </w:r>
    </w:p>
    <w:p>
      <w:pPr>
        <w:spacing w:after="120" w:before="240"/>
      </w:pPr>
      <w:r>
        <w:rPr>
          <w:rFonts w:ascii="Times New Roman" w:cs="Times New Roman" w:eastAsia="Times New Roman" w:hAnsi="Times New Roman"/>
          <w:b/>
          <w:bCs/>
          <w:sz w:val="24"/>
          <w:szCs w:val="24"/>
        </w:rPr>
        <w:t xml:space="preserve">5. Service</w:t>
      </w:r>
    </w:p>
    <w:p>
      <w:pPr>
        <w:spacing w:after="120" w:line="300"/>
        <w:jc w:val="both"/>
      </w:pPr>
      <w:r>
        <w:rPr>
          <w:rFonts w:ascii="Times New Roman" w:cs="Times New Roman" w:eastAsia="Times New Roman" w:hAnsi="Times New Roman"/>
          <w:sz w:val="24"/>
          <w:szCs w:val="24"/>
        </w:rPr>
        <w:t xml:space="preserve">This application is to be served on the Respondent and on Metro South Hospital and Health Service (attention: Principal Lawyer, Metro South Legal Services), and the Appellant will give notice of order (a), so far as it concerns Item 19, to Together Queensland.</w:t>
      </w:r>
    </w:p>
    <w:p>
      <w:pPr>
        <w:spacing w:after="120" w:before="240"/>
      </w:pPr>
      <w:r>
        <w:rPr>
          <w:rFonts w:ascii="Times New Roman" w:cs="Times New Roman" w:eastAsia="Times New Roman" w:hAnsi="Times New Roman"/>
          <w:b/>
          <w:bCs/>
          <w:sz w:val="24"/>
          <w:szCs w:val="24"/>
        </w:rPr>
        <w:t xml:space="preserve">6. Applicant’s Details</w:t>
      </w:r>
    </w:p>
    <w:p>
      <w:pPr>
        <w:spacing w:after="40"/>
        <w:jc w:val="both"/>
      </w:pPr>
      <w:r>
        <w:rPr>
          <w:rFonts w:ascii="Times New Roman" w:cs="Times New Roman" w:eastAsia="Times New Roman" w:hAnsi="Times New Roman"/>
          <w:sz w:val="24"/>
          <w:szCs w:val="24"/>
        </w:rPr>
        <w:t xml:space="preserve">Name: Cory Lea Shepherd</w:t>
      </w:r>
    </w:p>
    <w:p>
      <w:pPr>
        <w:spacing w:after="40"/>
        <w:jc w:val="both"/>
      </w:pPr>
      <w:r>
        <w:rPr>
          <w:rFonts w:ascii="Times New Roman" w:cs="Times New Roman" w:eastAsia="Times New Roman" w:hAnsi="Times New Roman"/>
          <w:sz w:val="24"/>
          <w:szCs w:val="24"/>
        </w:rPr>
        <w:t xml:space="preserve">Capacity: Appellant (Self-Represented)</w:t>
      </w:r>
    </w:p>
    <w:p>
      <w:pPr>
        <w:spacing w:after="40"/>
        <w:jc w:val="both"/>
      </w:pPr>
      <w:r>
        <w:rPr>
          <w:rFonts w:ascii="Times New Roman" w:cs="Times New Roman" w:eastAsia="Times New Roman" w:hAnsi="Times New Roman"/>
          <w:sz w:val="24"/>
          <w:szCs w:val="24"/>
        </w:rPr>
        <w:t xml:space="preserve">Address for service: [street address]</w:t>
      </w:r>
    </w:p>
    <w:p>
      <w:pPr>
        <w:spacing w:after="40"/>
        <w:jc w:val="both"/>
      </w:pPr>
      <w:r>
        <w:rPr>
          <w:rFonts w:ascii="Times New Roman" w:cs="Times New Roman" w:eastAsia="Times New Roman" w:hAnsi="Times New Roman"/>
          <w:sz w:val="24"/>
          <w:szCs w:val="24"/>
        </w:rPr>
        <w:t xml:space="preserve">Email: coryshepherd1@hotmail.com</w:t>
      </w:r>
    </w:p>
    <w:p>
      <w:pPr>
        <w:spacing w:after="40"/>
        <w:jc w:val="both"/>
      </w:pPr>
      <w:r>
        <w:rPr>
          <w:rFonts w:ascii="Times New Roman" w:cs="Times New Roman" w:eastAsia="Times New Roman" w:hAnsi="Times New Roman"/>
          <w:sz w:val="24"/>
          <w:szCs w:val="24"/>
        </w:rPr>
        <w:t xml:space="preserve">Telephone: [telephone]</w:t>
      </w:r>
    </w:p>
    <w:p>
      <w:pPr>
        <w:spacing w:after="240" w:before="240"/>
      </w:pPr>
      <w:r>
        <w:rPr>
          <w:rFonts w:ascii="Times New Roman" w:cs="Times New Roman" w:eastAsia="Times New Roman" w:hAnsi="Times New Roman"/>
          <w:sz w:val="24"/>
          <w:szCs w:val="24"/>
        </w:rPr>
        <w:t xml:space="preserve">Filed: 11 June 2026</w:t>
      </w:r>
    </w:p>
    <w:p>
      <w:pPr>
        <w:spacing w:after="0" w:before="360"/>
      </w:pPr>
      <w:r>
        <w:rPr>
          <w:rFonts w:ascii="Times New Roman" w:cs="Times New Roman" w:eastAsia="Times New Roman" w:hAnsi="Times New Roman"/>
          <w:sz w:val="24"/>
          <w:szCs w:val="24"/>
        </w:rPr>
        <w:t xml:space="preserve">________________________________</w:t>
      </w:r>
    </w:p>
    <w:p>
      <w:pPr>
        <w:spacing w:after="0"/>
      </w:pPr>
      <w:r>
        <w:rPr>
          <w:rFonts w:ascii="Times New Roman" w:cs="Times New Roman" w:eastAsia="Times New Roman" w:hAnsi="Times New Roman"/>
          <w:b/>
          <w:bCs/>
          <w:sz w:val="24"/>
          <w:szCs w:val="24"/>
        </w:rPr>
        <w:t xml:space="preserve">CORY LEA SHEPHERD</w:t>
      </w:r>
    </w:p>
    <w:p>
      <w:pPr>
        <w:spacing w:after="0"/>
      </w:pPr>
      <w:r>
        <w:rPr>
          <w:rFonts w:ascii="Times New Roman" w:cs="Times New Roman" w:eastAsia="Times New Roman" w:hAnsi="Times New Roman"/>
          <w:i/>
          <w:iCs/>
          <w:sz w:val="24"/>
          <w:szCs w:val="24"/>
        </w:rPr>
        <w:t xml:space="preserve">Appellant (Self-Represented)</w:t>
      </w:r>
    </w:p>
    <w:p>
      <w:pPr>
        <w:pageBreakBefore/>
        <w:spacing w:after="120"/>
        <w:jc w:val="center"/>
      </w:pPr>
      <w:r>
        <w:rPr>
          <w:rFonts w:ascii="Times New Roman" w:cs="Times New Roman" w:eastAsia="Times New Roman" w:hAnsi="Times New Roman"/>
          <w:b/>
          <w:bCs/>
          <w:sz w:val="24"/>
          <w:szCs w:val="24"/>
        </w:rPr>
        <w:t xml:space="preserve">SCHEDULE A — TERMS OF PRODUCTION</w:t>
      </w:r>
    </w:p>
    <w:p>
      <w:pPr>
        <w:spacing w:after="120" w:line="300"/>
        <w:jc w:val="both"/>
      </w:pPr>
      <w:r>
        <w:rPr>
          <w:rFonts w:ascii="Times New Roman" w:cs="Times New Roman" w:eastAsia="Times New Roman" w:hAnsi="Times New Roman"/>
          <w:sz w:val="24"/>
          <w:szCs w:val="24"/>
        </w:rPr>
        <w:t xml:space="preserve">In this Schedule, “the Line Manager” and “the Director” bear the meanings given in the Notice. Production is to be in native electronic format where the record is electronic, within fourteen (14) days of the order. The exclusions stated in the Notice — including those for legal professional privilege, for material attracting section 65 of the </w:t>
      </w:r>
      <w:r>
        <w:rPr>
          <w:rFonts w:ascii="Times New Roman" w:cs="Times New Roman" w:eastAsia="Times New Roman" w:hAnsi="Times New Roman"/>
          <w:i/>
          <w:iCs/>
          <w:sz w:val="24"/>
          <w:szCs w:val="24"/>
        </w:rPr>
        <w:t xml:space="preserve">Public Interest Disclosure Act 2010</w:t>
      </w:r>
      <w:r>
        <w:rPr>
          <w:rFonts w:ascii="Times New Roman" w:cs="Times New Roman" w:eastAsia="Times New Roman" w:hAnsi="Times New Roman"/>
          <w:sz w:val="24"/>
          <w:szCs w:val="24"/>
        </w:rPr>
        <w:t xml:space="preserve"> (Qld), and for personal contact details — apply to each item in this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6926"/>
      </w:tblGrid>
      <w:tr>
        <w:trPr>
          <w:tblHeader/>
        </w:trPr>
        <w:tc>
          <w:tcPr>
            <w:tcW w:type="dxa" w:w="700"/>
            <w:tcBorders>
              <w:top w:val="single" w:color="888888" w:sz="2"/>
              <w:left w:val="single" w:color="888888" w:sz="2"/>
              <w:bottom w:val="single" w:color="888888" w:sz="2"/>
              <w:right w:val="single" w:color="888888" w:sz="2"/>
            </w:tcBorders>
            <w:shd w:fill="EFEFEF"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sz w:val="24"/>
                <w:szCs w:val="24"/>
              </w:rPr>
              <w:t xml:space="preserve">No.</w:t>
            </w:r>
          </w:p>
        </w:tc>
        <w:tc>
          <w:tcPr>
            <w:tcW w:type="dxa" w:w="1400"/>
            <w:tcBorders>
              <w:top w:val="single" w:color="888888" w:sz="2"/>
              <w:left w:val="single" w:color="888888" w:sz="2"/>
              <w:bottom w:val="single" w:color="888888" w:sz="2"/>
              <w:right w:val="single" w:color="888888" w:sz="2"/>
            </w:tcBorders>
            <w:shd w:fill="EFEFEF"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sz w:val="24"/>
                <w:szCs w:val="24"/>
              </w:rPr>
              <w:t xml:space="preserve">Item</w:t>
            </w:r>
          </w:p>
        </w:tc>
        <w:tc>
          <w:tcPr>
            <w:tcW w:type="dxa" w:w="6926"/>
            <w:tcBorders>
              <w:top w:val="single" w:color="888888" w:sz="2"/>
              <w:left w:val="single" w:color="888888" w:sz="2"/>
              <w:bottom w:val="single" w:color="888888" w:sz="2"/>
              <w:right w:val="single" w:color="888888" w:sz="2"/>
            </w:tcBorders>
            <w:shd w:fill="EFEFEF" w:val="clear"/>
            <w:tcMar>
              <w:top w:type="dxa" w:w="80"/>
              <w:left w:type="dxa" w:w="120"/>
              <w:bottom w:type="dxa" w:w="80"/>
              <w:right w:type="dxa" w:w="120"/>
            </w:tcMar>
          </w:tcPr>
          <w:p>
            <w:pPr>
              <w:spacing w:after="0" w:line="280"/>
              <w:jc w:val="left"/>
            </w:pPr>
            <w:r>
              <w:rPr>
                <w:rFonts w:ascii="Times New Roman" w:cs="Times New Roman" w:eastAsia="Times New Roman" w:hAnsi="Times New Roman"/>
                <w:b/>
                <w:bCs/>
                <w:sz w:val="24"/>
                <w:szCs w:val="24"/>
              </w:rPr>
              <w:t xml:space="preserve">Terms of production ordered</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1</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3(a)</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2</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3(b)</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3</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8</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A native electronic export of Windows Active Directory / Microsoft Entra ID sign-in audit records for the network account assigned to the Line Manager, for the period 1 March 2024 to 30 June 2024 inclusive, or such shorter period as the Commission considers appropriate, being not less than 16 to 19 March 2024.</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4</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9</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 or such shorter period as the Commission considers appropriate, being not less than 16 to 19 March 2024.</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5</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10</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The documents described in Item 10 of the Notice, limited to the Line Manager and the Director as custodians and to the keyword terms stated in the Notice, for the period 1 March 2024 to 30 April 2024.</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6</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19</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7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7</w:t>
            </w:r>
          </w:p>
        </w:tc>
        <w:tc>
          <w:tcPr>
            <w:tcW w:type="dxa" w:w="1400"/>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Item 20</w:t>
            </w:r>
          </w:p>
        </w:tc>
        <w:tc>
          <w:tcPr>
            <w:tcW w:type="dxa" w:w="6926"/>
            <w:tcBorders>
              <w:top w:val="single" w:color="888888" w:sz="2"/>
              <w:left w:val="single" w:color="888888" w:sz="2"/>
              <w:bottom w:val="single" w:color="888888" w:sz="2"/>
              <w:right w:val="single" w:color="888888" w:sz="2"/>
            </w:tcBorders>
            <w:tcMar>
              <w:top w:type="dxa" w:w="80"/>
              <w:left w:type="dxa" w:w="120"/>
              <w:bottom w:type="dxa" w:w="80"/>
              <w:right w:type="dxa" w:w="120"/>
            </w:tcMar>
          </w:tcPr>
          <w:p>
            <w:pPr>
              <w:spacing w:after="0" w:line="280"/>
              <w:jc w:val="left"/>
            </w:pPr>
            <w:r>
              <w:rPr>
                <w:rFonts w:ascii="Times New Roman" w:cs="Times New Roman" w:eastAsia="Times New Roman" w:hAnsi="Times New Roman"/>
                <w:sz w:val="24"/>
                <w:szCs w:val="24"/>
              </w:rPr>
              <w:t xml:space="preserve">Documents recording operational or human-resources action taken during the period 13 May 2024 to 31 May 2024 — including any such action taken by, or reported to, the Director or members of the Logan Hospital Human Resources team — in response to the disclosures made by the Appellant in that period which were subsequently registered under reference PID 24-ESU-1130.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720"/>
      </w:pPr>
    </w:lvl>
  </w:abstractNum>
  <w:abstractNum w:abstractNumId="3"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2026-06-10T12:19:24.063Z</dcterms:created>
  <dcterms:modified xsi:type="dcterms:W3CDTF">2026-06-10T12:19:24.063Z</dcterms:modified>
</cp:coreProperties>
</file>

<file path=docProps/custom.xml><?xml version="1.0" encoding="utf-8"?>
<Properties xmlns="http://schemas.openxmlformats.org/officeDocument/2006/custom-properties" xmlns:vt="http://schemas.openxmlformats.org/officeDocument/2006/docPropsVTypes"/>
</file>