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30 September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The schedule to this letter lists the documents relied on, other than the treating medical records served on 9 September 2026, and their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 xml:space="preserve">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Neither the list nor the outlines names a medical or expert witness, and no expert report has been served as at the date of this letter.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Part 1 of the schedule on the following pages states the status of each of the 39 documents at Annexure A to the notices of 28 August 2026; Part 2 lists the other documents the pleading relies on.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pPr>
        <w:spacing w:before="0" w:after="120" w:line="264" w:lineRule="auto"/>
      </w:pPr>
      <w:r>
        <w:rPr>
          <w:rFonts w:ascii="Arial" w:hAnsi="Arial" w:cs="Arial"/>
          <w:sz w:val="19"/>
          <w:szCs w:val="19"/>
        </w:rPr>
        <w:t xml:space="preserve"/>
      </w:r>
    </w:p>
    <w:p>
      <w:pPr>
        <w:keepNext/>
        <w:spacing w:before="0" w:after="120" w:line="264" w:lineRule="auto"/>
      </w:pPr>
      <w:r>
        <w:rPr>
          <w:rFonts w:ascii="Arial" w:hAnsi="Arial" w:cs="Arial"/>
          <w:b/>
          <w:sz w:val="19"/>
          <w:szCs w:val="19"/>
        </w:rPr>
        <w:t xml:space="preserve">Schedule, Part 1: the 39 documents at Annexure A (notices to admit served 28 August 2026) and their status</w:t>
      </w:r>
    </w:p>
    <w:p>
      <w:pPr>
        <w:spacing w:before="0" w:after="100" w:line="264" w:lineRule="auto"/>
      </w:pPr>
      <w:r>
        <w:rPr>
          <w:rFonts w:ascii="Arial" w:hAnsi="Arial" w:cs="Arial"/>
          <w:sz w:val="19"/>
          <w:szCs w:val="19"/>
        </w:rPr>
        <w:t xml:space="preserve">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left w:val="single" w:sz="4"/>
          <w:bottom w:val="single" w:sz="4"/>
          <w:right w:val="single" w:sz="4"/>
          <w:insideH w:val="single" w:sz="4"/>
          <w:insideV w:val="single" w:sz="4"/>
        </w:tblBorders>
      </w:tblPr>
      <w:tblGrid>
        <w:gridCol w:w="480"/>
        <w:gridCol w:w="3370"/>
        <w:gridCol w:w="1350"/>
        <w:gridCol w:w="860"/>
        <w:gridCol w:w="1540"/>
        <w:gridCol w:w="203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rPr>
          <w:cantSplit/>
        </w:trP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 12:56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 that day</w:t>
            </w:r>
          </w:p>
        </w:tc>
        <w:tc>
          <w:tcPr/>
          <w:p>
            <w:pPr>
              <w:spacing w:after="0"/>
            </w:pPr>
            <w:r>
              <w:rPr>
                <w:rFonts w:ascii="Arial" w:hAnsi="Arial" w:cs="Arial"/>
                <w:sz w:val="16"/>
                <w:szCs w:val="16"/>
              </w:rPr>
              <w:t xml:space="preserve">6 Jun 2023, 4:05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 4:29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 9:30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 2:53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 (first email 14 May, 12:08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 12:33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 8:36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 (Stressor 1(c))</w:t>
            </w:r>
          </w:p>
        </w:tc>
        <w:tc>
          <w:tcPr>
            <w:shd w:val="clear" w:color="auto" w:fill="F3F7F3"/>
          </w:tcPr>
          <w:p>
            <w:pPr>
              <w:spacing w:after="0"/>
            </w:pPr>
            <w:r>
              <w:rPr>
                <w:rFonts w:ascii="Arial" w:hAnsi="Arial" w:cs="Arial"/>
                <w:sz w:val="16"/>
                <w:szCs w:val="16"/>
              </w:rPr>
              <w:t xml:space="preserve">15 Apr 2024, 12:39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 (Stressors 1(f) and 3(i))</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 (Stressor 1(b))</w:t>
            </w:r>
          </w:p>
        </w:tc>
        <w:tc>
          <w:tcPr>
            <w:shd w:val="clear" w:color="auto" w:fill="F3F7F3"/>
          </w:tcPr>
          <w:p>
            <w:pPr>
              <w:spacing w:after="0"/>
            </w:pPr>
            <w:r>
              <w:rPr>
                <w:rFonts w:ascii="Arial" w:hAnsi="Arial" w:cs="Arial"/>
                <w:sz w:val="16"/>
                <w:szCs w:val="16"/>
              </w:rPr>
              <w:t xml:space="preserve">23 Aug 2023, 2:18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 (Stressor 1(b))</w:t>
            </w:r>
          </w:p>
        </w:tc>
        <w:tc>
          <w:tcPr>
            <w:shd w:val="clear" w:color="auto" w:fill="F3F7F3"/>
          </w:tcPr>
          <w:p>
            <w:pPr>
              <w:spacing w:after="0"/>
            </w:pPr>
            <w:r>
              <w:rPr>
                <w:rFonts w:ascii="Arial" w:hAnsi="Arial" w:cs="Arial"/>
                <w:sz w:val="16"/>
                <w:szCs w:val="16"/>
              </w:rPr>
              <w:t xml:space="preserve">18 Jun 2024, 8:58 am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rPr>
          <w:cantSplit/>
        </w:trP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 1:52 pm</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rPr>
          <w:cantSplit/>
        </w:trP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 recording "Continuous Shift Worker"</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 stating that the 8-hour agreement "is only applied where staff initiated shift swaps have occurred"</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rPr>
          <w:cantSplit/>
        </w:trP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rPr>
          <w:cantSplit/>
        </w:trP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rPr>
          <w:cantSplit/>
        </w:trP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 (Stressor 3(e))</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rPr>
          <w:cantSplit/>
        </w:trP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Organiser,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keepNext/>
        <w:spacing w:before="0" w:after="120" w:line="264" w:lineRule="auto"/>
      </w:pPr>
      <w:r>
        <w:rPr>
          <w:rFonts w:ascii="Arial" w:hAnsi="Arial" w:cs="Arial"/>
          <w:b/>
          <w:sz w:val="19"/>
          <w:szCs w:val="19"/>
        </w:rPr>
        <w:t xml:space="preserve">Schedule, Part 2: other documents relied on in the Second Amended Form 9A that are not at Annexure A</w:t>
      </w:r>
    </w:p>
    <w:tbl>
      <w:tblPr>
        <w:tblW w:w="9630" w:type="dxa"/>
        <w:tblBorders>
          <w:top w:val="single" w:sz="4"/>
          <w:left w:val="single" w:sz="4"/>
          <w:bottom w:val="single" w:sz="4"/>
          <w:right w:val="single" w:sz="4"/>
          <w:insideH w:val="single" w:sz="4"/>
          <w:insideV w:val="single" w:sz="4"/>
        </w:tblBorders>
      </w:tblPr>
      <w:tblGrid>
        <w:gridCol w:w="4430"/>
        <w:gridCol w:w="2120"/>
        <w:gridCol w:w="3080"/>
      </w:tblGrid>
      <w:tr>
        <w:trPr>
          <w:tblHeader/>
        </w:trPr>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Relied on at</w:t>
            </w:r>
          </w:p>
        </w:tc>
        <w:tc>
          <w:tcPr>
            <w:shd w:val="clear" w:color="auto" w:fill="E9E9E9"/>
          </w:tcPr>
          <w:p>
            <w:pPr>
              <w:spacing w:after="0"/>
            </w:pPr>
            <w:r>
              <w:rPr>
                <w:rFonts w:ascii="Arial" w:hAnsi="Arial" w:cs="Arial"/>
                <w:b/>
                <w:sz w:val="16"/>
                <w:szCs w:val="16"/>
              </w:rPr>
              <w:t xml:space="preserve">Status or source</w:t>
            </w:r>
          </w:p>
        </w:tc>
      </w:tr>
      <w:tr>
        <w:trPr>
          <w:cantSplit/>
        </w:trPr>
        <w:tc>
          <w:tcPr/>
          <w:p>
            <w:pPr>
              <w:spacing w:after="0"/>
            </w:pPr>
            <w:r>
              <w:rPr>
                <w:rFonts w:ascii="Arial" w:hAnsi="Arial" w:cs="Arial"/>
                <w:sz w:val="16"/>
                <w:szCs w:val="16"/>
              </w:rPr>
              <w:t xml:space="preserve">The Respondent's outlines of the evidence of Ms Taylor, Ms Reese, Ms Wright and Ms Earl</w:t>
            </w:r>
          </w:p>
        </w:tc>
        <w:tc>
          <w:tcPr/>
          <w:p>
            <w:pPr>
              <w:spacing w:after="0"/>
            </w:pPr>
            <w:r>
              <w:rPr>
                <w:rFonts w:ascii="Arial" w:hAnsi="Arial" w:cs="Arial"/>
                <w:sz w:val="16"/>
                <w:szCs w:val="16"/>
              </w:rPr>
              <w:t xml:space="preserve">Stressors 1(j), 2(a), 3(a) and 3(f); Part C, paragraph 5A</w:t>
            </w:r>
          </w:p>
        </w:tc>
        <w:tc>
          <w:tcPr/>
          <w:p>
            <w:pPr>
              <w:spacing w:after="0"/>
            </w:pPr>
            <w:r>
              <w:rPr>
                <w:rFonts w:ascii="Arial" w:hAnsi="Arial" w:cs="Arial"/>
                <w:sz w:val="16"/>
                <w:szCs w:val="16"/>
              </w:rPr>
              <w:t xml:space="preserve">Served by the Respondent on 24 September 2026; available to the Commission on request. An outline is not evidence.</w:t>
            </w:r>
          </w:p>
        </w:tc>
      </w:tr>
      <w:tr>
        <w:trPr>
          <w:cantSplit/>
        </w:trPr>
        <w:tc>
          <w:tcPr/>
          <w:p>
            <w:pPr>
              <w:spacing w:after="0"/>
            </w:pPr>
            <w:r>
              <w:rPr>
                <w:rFonts w:ascii="Arial" w:hAnsi="Arial" w:cs="Arial"/>
                <w:sz w:val="16"/>
                <w:szCs w:val="16"/>
              </w:rPr>
              <w:t xml:space="preserve">The spreadsheet of recorded MET calls for 17 and 18 March 2024</w:t>
            </w:r>
          </w:p>
        </w:tc>
        <w:tc>
          <w:tcPr/>
          <w:p>
            <w:pPr>
              <w:spacing w:after="0"/>
            </w:pPr>
            <w:r>
              <w:rPr>
                <w:rFonts w:ascii="Arial" w:hAnsi="Arial" w:cs="Arial"/>
                <w:sz w:val="16"/>
                <w:szCs w:val="16"/>
              </w:rPr>
              <w:t xml:space="preserve">Stressor 3(e)</w:t>
            </w:r>
          </w:p>
        </w:tc>
        <w:tc>
          <w:tcPr/>
          <w:p>
            <w:pPr>
              <w:spacing w:after="0"/>
            </w:pPr>
            <w:r>
              <w:rPr>
                <w:rFonts w:ascii="Arial" w:hAnsi="Arial" w:cs="Arial"/>
                <w:sz w:val="16"/>
                <w:szCs w:val="16"/>
              </w:rPr>
              <w:t xml:space="preserve">Metro South Health states that it is available [¶ 268].</w:t>
            </w:r>
          </w:p>
        </w:tc>
      </w:tr>
      <w:tr>
        <w:trPr>
          <w:cantSplit/>
        </w:trPr>
        <w:tc>
          <w:tcPr/>
          <w:p>
            <w:pPr>
              <w:spacing w:after="0"/>
            </w:pPr>
            <w:r>
              <w:rPr>
                <w:rFonts w:ascii="Arial" w:hAnsi="Arial" w:cs="Arial"/>
                <w:sz w:val="16"/>
                <w:szCs w:val="16"/>
              </w:rPr>
              <w:t xml:space="preserve">The Logan Hospital emergency code procedures referred to in the role description</w:t>
            </w:r>
          </w:p>
        </w:tc>
        <w:tc>
          <w:tcPr/>
          <w:p>
            <w:pPr>
              <w:spacing w:after="0"/>
            </w:pPr>
            <w:r>
              <w:rPr>
                <w:rFonts w:ascii="Arial" w:hAnsi="Arial" w:cs="Arial"/>
                <w:sz w:val="16"/>
                <w:szCs w:val="16"/>
              </w:rPr>
              <w:t xml:space="preserve">Stressor 3(e)(i)</w:t>
            </w:r>
          </w:p>
        </w:tc>
        <w:tc>
          <w:tcPr/>
          <w:p>
            <w:pPr>
              <w:spacing w:after="0"/>
            </w:pPr>
            <w:r>
              <w:rPr>
                <w:rFonts w:ascii="Arial" w:hAnsi="Arial" w:cs="Arial"/>
                <w:sz w:val="16"/>
                <w:szCs w:val="16"/>
              </w:rPr>
              <w:t xml:space="preserve">Referred to in the role description [¶ 8] (Tab 1).</w:t>
            </w:r>
          </w:p>
        </w:tc>
      </w:tr>
      <w:tr>
        <w:trPr>
          <w:cantSplit/>
        </w:trPr>
        <w:tc>
          <w:tcPr/>
          <w:p>
            <w:pPr>
              <w:spacing w:after="0"/>
            </w:pPr>
            <w:r>
              <w:rPr>
                <w:rFonts w:ascii="Arial" w:hAnsi="Arial" w:cs="Arial"/>
                <w:sz w:val="16"/>
                <w:szCs w:val="16"/>
              </w:rPr>
              <w:t xml:space="preserve">The documents recording the advice of Human Resources on the 8-hour agreement</w:t>
            </w:r>
          </w:p>
        </w:tc>
        <w:tc>
          <w:tcPr/>
          <w:p>
            <w:pPr>
              <w:spacing w:after="0"/>
            </w:pPr>
            <w:r>
              <w:rPr>
                <w:rFonts w:ascii="Arial" w:hAnsi="Arial" w:cs="Arial"/>
                <w:sz w:val="16"/>
                <w:szCs w:val="16"/>
              </w:rPr>
              <w:t xml:space="preserve">Referred to in the outlines (first row)</w:t>
            </w:r>
          </w:p>
        </w:tc>
        <w:tc>
          <w:tcPr/>
          <w:p>
            <w:pPr>
              <w:spacing w:after="0"/>
            </w:pPr>
            <w:r>
              <w:rPr>
                <w:rFonts w:ascii="Arial" w:hAnsi="Arial" w:cs="Arial"/>
                <w:sz w:val="16"/>
                <w:szCs w:val="16"/>
              </w:rPr>
              <w:t xml:space="preserve">The outlines of Ms Taylor and Ms Reese refer to them; neither identifies them.</w:t>
            </w:r>
          </w:p>
        </w:tc>
      </w:tr>
      <w:tr>
        <w:trPr>
          <w:cantSplit/>
        </w:trPr>
        <w:tc>
          <w:tcPr/>
          <w:p>
            <w:pPr>
              <w:spacing w:after="0"/>
            </w:pPr>
            <w:r>
              <w:rPr>
                <w:rFonts w:ascii="Arial" w:hAnsi="Arial" w:cs="Arial"/>
                <w:sz w:val="16"/>
                <w:szCs w:val="16"/>
              </w:rPr>
              <w:t xml:space="preserve">The Communication Book</w:t>
            </w:r>
          </w:p>
        </w:tc>
        <w:tc>
          <w:tcPr/>
          <w:p>
            <w:pPr>
              <w:spacing w:after="0"/>
            </w:pPr>
            <w:r>
              <w:rPr>
                <w:rFonts w:ascii="Arial" w:hAnsi="Arial" w:cs="Arial"/>
                <w:sz w:val="16"/>
                <w:szCs w:val="16"/>
              </w:rPr>
              <w:t xml:space="preserve">Stressor 1(g); Part B.5.4</w:t>
            </w:r>
          </w:p>
        </w:tc>
        <w:tc>
          <w:tcPr/>
          <w:p>
            <w:pPr>
              <w:spacing w:after="0"/>
            </w:pPr>
            <w:r>
              <w:rPr>
                <w:rFonts w:ascii="Arial" w:hAnsi="Arial" w:cs="Arial"/>
                <w:sz w:val="16"/>
                <w:szCs w:val="16"/>
              </w:rPr>
              <w:t xml:space="preserve">Not listed in the Respondent's amended List of Documents of 14 August 2026; paragraph 154 of the notice was not admitted.</w:t>
            </w:r>
          </w:p>
        </w:tc>
      </w:tr>
      <w:tr>
        <w:trPr>
          <w:cantSplit/>
        </w:trPr>
        <w:tc>
          <w:tcPr/>
          <w:p>
            <w:pPr>
              <w:spacing w:after="0"/>
            </w:pPr>
            <w:r>
              <w:rPr>
                <w:rFonts w:ascii="Arial" w:hAnsi="Arial" w:cs="Arial"/>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p>
            <w:pPr>
              <w:spacing w:after="0"/>
            </w:pPr>
            <w:r>
              <w:rPr>
                <w:rFonts w:ascii="Arial" w:hAnsi="Arial" w:cs="Arial"/>
                <w:sz w:val="16"/>
                <w:szCs w:val="16"/>
              </w:rPr>
              <w:t xml:space="preserve">Stressor 2(a); Part B.4</w:t>
            </w:r>
          </w:p>
        </w:tc>
        <w:tc>
          <w:tcPr/>
          <w:p>
            <w:pPr>
              <w:spacing w:after="0"/>
            </w:pPr>
            <w:r>
              <w:rPr>
                <w:rFonts w:ascii="Arial" w:hAnsi="Arial" w:cs="Arial"/>
                <w:sz w:val="16"/>
                <w:szCs w:val="16"/>
              </w:rPr>
              <w:t xml:space="preserve">Disclosed by the Respondent in July 2025.</w:t>
            </w:r>
          </w:p>
        </w:tc>
      </w:tr>
      <w:tr>
        <w:trPr>
          <w:cantSplit/>
        </w:trPr>
        <w:tc>
          <w:tcPr/>
          <w:p>
            <w:pPr>
              <w:spacing w:after="0"/>
            </w:pPr>
            <w:r>
              <w:rPr>
                <w:rFonts w:ascii="Arial" w:hAnsi="Arial" w:cs="Arial"/>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p>
            <w:pPr>
              <w:spacing w:after="0"/>
            </w:pPr>
            <w:r>
              <w:rPr>
                <w:rFonts w:ascii="Arial" w:hAnsi="Arial" w:cs="Arial"/>
                <w:sz w:val="16"/>
                <w:szCs w:val="16"/>
              </w:rPr>
              <w:t xml:space="preserve">Stressor 1(j), for dates, senders and recipients only</w:t>
            </w:r>
          </w:p>
        </w:tc>
        <w:tc>
          <w:tcPr/>
          <w:p>
            <w:pPr>
              <w:spacing w:after="0"/>
            </w:pPr>
            <w:r>
              <w:rPr>
                <w:rFonts w:ascii="Arial" w:hAnsi="Arial" w:cs="Arial"/>
                <w:sz w:val="16"/>
                <w:szCs w:val="16"/>
              </w:rPr>
              <w:t xml:space="preserve">Disclosed by the Respondent on 11 June 2026.</w:t>
            </w:r>
          </w:p>
        </w:tc>
      </w:tr>
      <w:tr>
        <w:trPr>
          <w:cantSplit/>
        </w:trPr>
        <w:tc>
          <w:tcPr/>
          <w:p>
            <w:pPr>
              <w:spacing w:after="0"/>
            </w:pPr>
            <w:r>
              <w:rPr>
                <w:rFonts w:ascii="Arial" w:hAnsi="Arial" w:cs="Arial"/>
                <w:sz w:val="16"/>
                <w:szCs w:val="16"/>
              </w:rPr>
              <w:t xml:space="preserve">Queensland Health's Code Blue procedure 001443 (Royal Brisbane and Women's Hospital, version 5, April 2020)</w:t>
            </w:r>
          </w:p>
        </w:tc>
        <w:tc>
          <w:tcPr/>
          <w:p>
            <w:pPr>
              <w:spacing w:after="0"/>
            </w:pPr>
            <w:r>
              <w:rPr>
                <w:rFonts w:ascii="Arial" w:hAnsi="Arial" w:cs="Arial"/>
                <w:sz w:val="16"/>
                <w:szCs w:val="16"/>
              </w:rPr>
              <w:t xml:space="preserve">Stressor 3(e)(i): the types of Code Blue and the role of Switchboard Services</w:t>
            </w:r>
          </w:p>
        </w:tc>
        <w:tc>
          <w:tcPr/>
          <w:p>
            <w:pPr>
              <w:spacing w:after="0"/>
            </w:pPr>
            <w:r>
              <w:rPr>
                <w:rFonts w:ascii="Arial" w:hAnsi="Arial" w:cs="Arial"/>
                <w:sz w:val="16"/>
                <w:szCs w:val="16"/>
              </w:rPr>
              <w:t xml:space="preserve">Public document.</w:t>
            </w:r>
          </w:p>
        </w:tc>
      </w:tr>
      <w:tr>
        <w:trPr>
          <w:cantSplit/>
        </w:trPr>
        <w:tc>
          <w:tcPr/>
          <w:p>
            <w:pPr>
              <w:spacing w:after="0"/>
            </w:pPr>
            <w:r>
              <w:rPr>
                <w:rFonts w:ascii="Arial" w:hAnsi="Arial" w:cs="Arial"/>
                <w:sz w:val="16"/>
                <w:szCs w:val="16"/>
              </w:rPr>
              <w:t xml:space="preserve">The Queensland Ombudsman's Neville Report (June 2006) and its 2011 update, and the Coroner's findings of 12 September 2008</w:t>
            </w:r>
          </w:p>
        </w:tc>
        <w:tc>
          <w:tcPr/>
          <w:p>
            <w:pPr>
              <w:spacing w:after="0"/>
            </w:pPr>
            <w:r>
              <w:rPr>
                <w:rFonts w:ascii="Arial" w:hAnsi="Arial" w:cs="Arial"/>
                <w:sz w:val="16"/>
                <w:szCs w:val="16"/>
              </w:rPr>
              <w:t xml:space="preserve">Stressor 3(i): the origin of the fatigue framework</w:t>
            </w:r>
          </w:p>
        </w:tc>
        <w:tc>
          <w:tcPr/>
          <w:p>
            <w:pPr>
              <w:spacing w:after="0"/>
            </w:pPr>
            <w:r>
              <w:rPr>
                <w:rFonts w:ascii="Arial" w:hAnsi="Arial" w:cs="Arial"/>
                <w:sz w:val="16"/>
                <w:szCs w:val="16"/>
              </w:rPr>
              <w:t xml:space="preserve">Public documents.</w:t>
            </w:r>
          </w:p>
        </w:tc>
      </w:tr>
      <w:tr>
        <w:trPr>
          <w:cantSplit/>
        </w:trPr>
        <w:tc>
          <w:tcPr/>
          <w:p>
            <w:pPr>
              <w:spacing w:after="0"/>
            </w:pPr>
            <w:r>
              <w:rPr>
                <w:rFonts w:ascii="Arial" w:hAnsi="Arial" w:cs="Arial"/>
                <w:sz w:val="16"/>
                <w:szCs w:val="16"/>
              </w:rPr>
              <w:t xml:space="preserve">The monthly call statistics for April 2025</w:t>
            </w:r>
          </w:p>
        </w:tc>
        <w:tc>
          <w:tcPr/>
          <w:p>
            <w:pPr>
              <w:spacing w:after="0"/>
            </w:pPr>
            <w:r>
              <w:rPr>
                <w:rFonts w:ascii="Arial" w:hAnsi="Arial" w:cs="Arial"/>
                <w:sz w:val="16"/>
                <w:szCs w:val="16"/>
              </w:rPr>
              <w:t xml:space="preserve">Stressor 3(e)(v)</w:t>
            </w:r>
          </w:p>
        </w:tc>
        <w:tc>
          <w:tcPr/>
          <w:p>
            <w:pPr>
              <w:spacing w:after="0"/>
            </w:pPr>
            <w:r>
              <w:rPr>
                <w:rFonts w:ascii="Arial" w:hAnsi="Arial" w:cs="Arial"/>
                <w:sz w:val="16"/>
                <w:szCs w:val="16"/>
              </w:rPr>
              <w:t xml:space="preserve">The Appellant's own record and evidence (Part B preamble).</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27 pages.</w:t>
      </w:r>
    </w:p>
    <w:sectPr>
      <w:pgSz w:w="11906" w:h="16838"/>
      <w:pgMar w:top="1000" w:right="1134" w:bottom="900" w:left="1134" w:header="567" w:footer="567" w:gutter="0"/>
    </w:sectPr>
  </w:body>
</w:document>
</file>