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 xml:space="preserve">QUEENSLAND INDUSTRIAL RELATIONS COMMISSION</w:t>
      </w:r>
    </w:p>
    <w:p>
      <w:pPr>
        <w:spacing w:before="0" w:after="160" w:line="264" w:lineRule="auto"/>
        <w:jc w:val="center"/>
      </w:pPr>
      <w:r>
        <w:rPr>
          <w:rFonts w:ascii="Arial" w:hAnsi="Arial" w:cs="Arial"/>
          <w:i/>
          <w:sz w:val="20"/>
          <w:szCs w:val="20"/>
        </w:rPr>
        <w:t xml:space="preserve">Workers' Compensation and Rehabilitation Act 2003</w:t>
      </w:r>
    </w:p>
    <w:p>
      <w:pPr>
        <w:spacing w:before="0" w:after="0" w:line="264" w:lineRule="auto"/>
        <w:jc w:val="center"/>
      </w:pPr>
      <w:r>
        <w:rPr>
          <w:rFonts w:ascii="Arial" w:hAnsi="Arial" w:cs="Arial"/>
          <w:sz w:val="20"/>
          <w:szCs w:val="20"/>
        </w:rPr>
        <w:t xml:space="preserve">Cory Lea Shepherd</w:t>
      </w:r>
    </w:p>
    <w:p>
      <w:pPr>
        <w:spacing w:before="0" w:after="60" w:line="264" w:lineRule="auto"/>
        <w:jc w:val="center"/>
      </w:pPr>
      <w:r>
        <w:rPr>
          <w:rFonts w:ascii="Arial" w:hAnsi="Arial" w:cs="Arial"/>
          <w:i/>
          <w:sz w:val="20"/>
          <w:szCs w:val="20"/>
        </w:rPr>
        <w:t xml:space="preserve">Appellant</w:t>
      </w:r>
    </w:p>
    <w:p>
      <w:pPr>
        <w:spacing w:before="0" w:after="0" w:line="264" w:lineRule="auto"/>
        <w:jc w:val="center"/>
      </w:pPr>
      <w:r>
        <w:rPr>
          <w:rFonts w:ascii="Arial" w:hAnsi="Arial" w:cs="Arial"/>
          <w:sz w:val="20"/>
          <w:szCs w:val="20"/>
        </w:rPr>
        <w:t xml:space="preserve">v</w:t>
      </w:r>
    </w:p>
    <w:p>
      <w:pPr>
        <w:spacing w:before="0" w:after="0" w:line="264" w:lineRule="auto"/>
        <w:jc w:val="center"/>
      </w:pPr>
      <w:r>
        <w:rPr>
          <w:rFonts w:ascii="Arial" w:hAnsi="Arial" w:cs="Arial"/>
          <w:sz w:val="20"/>
          <w:szCs w:val="20"/>
        </w:rPr>
        <w:t xml:space="preserve">Workers' Compensation Regulator</w:t>
      </w:r>
    </w:p>
    <w:p>
      <w:pPr>
        <w:spacing w:before="0" w:after="60" w:line="264" w:lineRule="auto"/>
        <w:jc w:val="center"/>
      </w:pPr>
      <w:r>
        <w:rPr>
          <w:rFonts w:ascii="Arial" w:hAnsi="Arial" w:cs="Arial"/>
          <w:i/>
          <w:sz w:val="20"/>
          <w:szCs w:val="20"/>
        </w:rPr>
        <w:t xml:space="preserve">Respondent</w:t>
      </w:r>
    </w:p>
    <w:p>
      <w:pPr>
        <w:spacing w:before="0" w:after="120" w:line="264" w:lineRule="auto"/>
        <w:jc w:val="center"/>
      </w:pPr>
      <w:r>
        <w:rPr>
          <w:rFonts w:ascii="Arial" w:hAnsi="Arial" w:cs="Arial"/>
          <w:i/>
          <w:sz w:val="20"/>
          <w:szCs w:val="20"/>
        </w:rPr>
        <w:t xml:space="preserve">Matter No. WC/2024/227</w:t>
      </w:r>
    </w:p>
    <w:p>
      <w:pPr>
        <w:spacing w:before="0" w:after="60" w:line="264" w:lineRule="auto"/>
        <w:jc w:val="center"/>
      </w:pPr>
      <w:r>
        <w:rPr>
          <w:rFonts w:ascii="Arial" w:hAnsi="Arial" w:cs="Arial"/>
          <w:b/>
          <w:sz w:val="20"/>
          <w:szCs w:val="20"/>
        </w:rPr>
        <w:t xml:space="preserve">APPEAL AGAINST DECISION OF RESPONDENT PURSUANT TO SECTION 549</w:t>
      </w:r>
    </w:p>
    <w:p>
      <w:pPr>
        <w:spacing w:before="0" w:after="200" w:line="264" w:lineRule="auto"/>
        <w:jc w:val="center"/>
      </w:pPr>
      <w:r>
        <w:rPr>
          <w:rFonts w:ascii="Arial" w:hAnsi="Arial" w:cs="Arial"/>
          <w:b/>
          <w:sz w:val="20"/>
          <w:szCs w:val="20"/>
        </w:rPr>
        <w:t xml:space="preserve">APPELLANT'S ELECTION UNDER DIRECTION 5, AND DIRECTIONS REQUESTED</w:t>
      </w:r>
    </w:p>
    <w:p>
      <w:pPr>
        <w:spacing w:before="0" w:after="120" w:line="264" w:lineRule="auto"/>
      </w:pPr>
      <w:r>
        <w:rPr>
          <w:rFonts w:ascii="Arial" w:hAnsi="Arial" w:cs="Arial"/>
          <w:sz w:val="20"/>
          <w:szCs w:val="20"/>
        </w:rPr>
        <w:t xml:space="preserve">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 xml:space="preserve">1.	</w:t>
      </w:r>
      <w:r>
        <w:rPr>
          <w:rFonts w:ascii="Arial" w:hAnsi="Arial" w:cs="Arial"/>
          <w:b/>
          <w:sz w:val="20"/>
          <w:szCs w:val="20"/>
        </w:rPr>
        <w:t xml:space="preserve">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and 3 below may be dealt with.</w:t>
      </w:r>
    </w:p>
    <w:p>
      <w:pPr>
        <w:spacing w:before="0" w:after="140" w:line="264" w:lineRule="auto"/>
        <w:ind w:left="440" w:hanging="440"/>
      </w:pPr>
      <w:r>
        <w:rPr>
          <w:rFonts w:ascii="Arial" w:hAnsi="Arial" w:cs="Arial"/>
          <w:sz w:val="20"/>
          <w:szCs w:val="20"/>
        </w:rPr>
        <w:t xml:space="preserve">2.	</w:t>
      </w:r>
      <w:r>
        <w:rPr>
          <w:rFonts w:ascii="Arial" w:hAnsi="Arial" w:cs="Arial"/>
          <w:b/>
          <w:sz w:val="20"/>
          <w:szCs w:val="20"/>
        </w:rPr>
        <w:t xml:space="preserve">That the Appellant have leave to file in the Industrial Registry and serve on the Respondent the Second Amended Statement of Facts and Contentions (Form 9A) enclosed,</w:t>
      </w:r>
      <w:r>
        <w:rPr>
          <w:rFonts w:ascii="Arial" w:hAnsi="Arial" w:cs="Arial"/>
          <w:sz w:val="20"/>
          <w:szCs w:val="20"/>
        </w:rPr>
        <w:t xml:space="preserve"> under section 451(2) of the Industrial Relations Act 2016. The Second Amended Form 9A states that the Appellant bears the onus of proof; confines each stressor to the facts admitted by the Respondent on 8 September 2026 and the documents that record them; and states the contentions and the questions for determination on that footing, so that the appeal proceeds on the admitted facts, the admitted documents and the factual basis as it has crystallised. It adds no new allegation. The Appellant does not require to change his list of witnesses filed, or his outlines of evidence served on the Respondent, on 9 September 2026 under directions 1 and 2, and they stand as filed and served on that date.</w:t>
      </w:r>
    </w:p>
    <w:p>
      <w:pPr>
        <w:spacing w:before="0" w:after="140" w:line="264" w:lineRule="auto"/>
        <w:ind w:left="440" w:hanging="440"/>
      </w:pPr>
      <w:r>
        <w:rPr>
          <w:rFonts w:ascii="Arial" w:hAnsi="Arial" w:cs="Arial"/>
          <w:sz w:val="20"/>
          <w:szCs w:val="20"/>
        </w:rPr>
        <w:t xml:space="preserve">3.	</w:t>
      </w:r>
      <w:r>
        <w:rPr>
          <w:rFonts w:ascii="Arial" w:hAnsi="Arial" w:cs="Arial"/>
          <w:b/>
          <w:sz w:val="20"/>
          <w:szCs w:val="20"/>
        </w:rPr>
        <w:t xml:space="preserve">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 xml:space="preserve">4.	</w:t>
      </w:r>
      <w:r>
        <w:rPr>
          <w:rFonts w:ascii="Arial" w:hAnsi="Arial" w:cs="Arial"/>
          <w:b/>
          <w:sz w:val="20"/>
          <w:szCs w:val="20"/>
        </w:rPr>
        <w:t xml:space="preserve">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 xml:space="preserve">5.	</w:t>
      </w:r>
      <w:r>
        <w:rPr>
          <w:rFonts w:ascii="Arial" w:hAnsi="Arial" w:cs="Arial"/>
          <w:b/>
          <w:sz w:val="20"/>
          <w:szCs w:val="20"/>
        </w:rPr>
        <w:t xml:space="preserve">Such further directions as the Commission considers appropriate.</w:t>
      </w:r>
      <w:r>
        <w:rPr>
          <w:rFonts w:ascii="Arial" w:hAnsi="Arial" w:cs="Arial"/>
          <w:sz w:val="20"/>
          <w:szCs w:val="20"/>
        </w:rPr>
        <w:t xml:space="preserve"/>
      </w:r>
    </w:p>
    <w:p>
      <w:pPr>
        <w:spacing w:before="0" w:after="200" w:line="264" w:lineRule="auto"/>
      </w:pPr>
      <w:r>
        <w:rPr>
          <w:rFonts w:ascii="Arial" w:hAnsi="Arial" w:cs="Arial"/>
          <w:sz w:val="18"/>
          <w:szCs w:val="18"/>
        </w:rPr>
        <w:t xml:space="preserve">Enclosed with this page: the Appellant's letter of explanation, with the schedule of the documents relied on and their status (four pages in all); and the Second Amended Statement of Facts and Contentions (Form 9A) (27 pages). The notices to admit, the Respondent's responses and the documents themselves are available to the Commission on request.</w:t>
      </w:r>
    </w:p>
    <w:p>
      <w:pPr>
        <w:spacing w:before="0" w:after="280" w:line="264" w:lineRule="auto"/>
      </w:pPr>
      <w:r>
        <w:rPr>
          <w:rFonts w:ascii="Arial" w:hAnsi="Arial" w:cs="Arial"/>
          <w:sz w:val="20"/>
          <w:szCs w:val="20"/>
        </w:rPr>
        <w:t xml:space="preserve">Dated 30 September 2026</w:t>
      </w:r>
    </w:p>
    <w:p>
      <w:pPr>
        <w:spacing w:before="0" w:after="0" w:line="264" w:lineRule="auto"/>
      </w:pPr>
      <w:r>
        <w:rPr>
          <w:rFonts w:ascii="Arial" w:hAnsi="Arial" w:cs="Arial"/>
          <w:b/>
          <w:sz w:val="20"/>
          <w:szCs w:val="20"/>
        </w:rPr>
        <w:t xml:space="preserve">Cory Lea Shepherd</w:t>
      </w:r>
    </w:p>
    <w:p>
      <w:pPr>
        <w:spacing w:before="0" w:after="60" w:line="264" w:lineRule="auto"/>
      </w:pPr>
      <w:r>
        <w:rPr>
          <w:rFonts w:ascii="Arial" w:hAnsi="Arial" w:cs="Arial"/>
          <w:sz w:val="20"/>
          <w:szCs w:val="20"/>
        </w:rPr>
        <w:t xml:space="preserve">Appellant (self-represented)</w:t>
      </w:r>
    </w:p>
    <w:sectPr>
      <w:pgSz w:w="11906" w:h="16838"/>
      <w:pgMar w:top="1134" w:right="1247" w:bottom="1000" w:left="1247" w:header="567" w:footer="567" w:gutter="0"/>
    </w:sectPr>
  </w:body>
</w:document>
</file>