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"Please give me some space and stop with any further communication as I have had enough of it." [¶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(l) The special pandemic leave application, February 2024 - the sequence.</w:t>
      </w:r>
      <w:r>
        <w:t xml:space="preserve"> The review decision records that on 20 February 2024 the Appellant messaged the Switchboard Manager stating he had tested positive for COVID-19, and that she "requested that you send it to her so she could submit it in MyHR". [¶ 136]</w:t>
      </w:r>
    </w:p>
    <w:p>
      <w:pPr>
        <w:keepLines w:val="0"/>
      </w:pPr>
      <w:r>
        <w:t>The Respondent pleads that she asked him to submit a Special Pandemic Leave request via myHR himself and attach a statutory declaration or photo evidence of his test. [¶ 132] The myHR submissions report records the initiator of that Smart Leave Request as the Appellant. [¶¶ 140 to 141]</w:t>
      </w:r>
    </w:p>
    <w:p>
      <w:pPr>
        <w:keepLines w:val="0"/>
      </w:pPr>
      <w:r>
        <w:t>The Respondent does not allege that any other Switchboard employee was required to submit such a request personally through myHR in February 2024. [¶ 142] The leave request history for Process Reference 15480560 records the Appellant creating a draft at 11:24:48 on 20 February 2024 and submitting the request at 11:41:27 that morning. [¶¶ 114 to 115]</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 No connection between that disclosure and any later conduct is alleged or relied upon in this appeal.</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t>No allegation concerning the employer's conduct in relation to that endorsement is made in this appeal.</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The matters at (j), (k), (l), (m), (n) and (o) above, and at paragraph 3 below, are pleaded as part of the sequence of matters the Appellant raised and the responses he received. They are not relied upon as independent causative circumstances within Stressor 1, and no connection between any of them and any other conduct is alleged.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review decision records the Manager asking the Appellant to send his material to her so she could submit it in myHR; the leave history records the Appellant creating the draft and submitting the request that morning. [¶¶ 114 to 115, 136]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(h) The employer's own record of emergency workload.</w:t>
      </w:r>
      <w:r>
        <w:t xml:space="preserve"> Metro South Health has stated in writing that "a spreadsheet of recorded MET calls is available for the period 17-18 March 2024". [¶ 268] The specific register entries put in facts 228 to 231 are not relied upon here as admissions because those facts were not admitted. If the register is relied upon at hearing, its contents will be proved separately.</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says no finding in Review Decision 69983 binds the Commission.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6.</w:t>
      </w:r>
      <w:r>
        <w:t xml:space="preserve"> Costs reserved.</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