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 The Appellant does not require to change his list of witnesses filed, or his outlines of evidence served on the Respondent, on 9 September 2026 under directions 1 and 2, and they stand as filed and served on that date.</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39 documents and their status (two pages); and the Second Amended Statement of Facts and Contentions (Form 9A) (25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      ] October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