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 1 to 4, 13]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is pleaded as arising from that course of conduct, not from a single event on that day.</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Part B.7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1.10).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how the injury certified as anxiety and stress on 1 July 2024 had become a depressive disorder by 24 October 2024.</w:t>
      </w:r>
    </w:p>
    <w:p>
      <w:pPr>
        <w:spacing w:before="0" w:after="100" w:line="264" w:lineRule="auto"/>
      </w:pPr>
      <w:r>
        <w:rPr>
          <w:rFonts w:ascii="Arial" w:hAnsi="Arial" w:cs="Arial"/>
          <w:b/>
          <w:sz w:val="20"/>
          <w:szCs w:val="20"/>
        </w:rPr>
        <w:t xml:space="preserve">1.7 The report of 13 February 2025.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The report's footer, and the author's position. </w:t>
      </w:r>
      <w:r>
        <w:rPr>
          <w:rFonts w:ascii="Arial" w:hAnsi="Arial" w:cs="Arial"/>
          <w:sz w:val="20"/>
          <w:szCs w:val="20"/>
        </w:rPr>
        <w:t xml:space="preserve">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pPr>
      <w:r>
        <w:rPr>
          <w:rFonts w:ascii="Arial" w:hAnsi="Arial" w:cs="Arial"/>
          <w:b/>
          <w:sz w:val="20"/>
          <w:szCs w:val="20"/>
        </w:rPr>
        <w:t xml:space="preserve">1.9 Current capacity. </w:t>
      </w:r>
      <w:r>
        <w:rPr>
          <w:rFonts w:ascii="Arial" w:hAnsi="Arial" w:cs="Arial"/>
          <w:sz w:val="20"/>
          <w:szCs w:val="20"/>
        </w:rPr>
        <w:t xml:space="preserve">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It is dated after 1 July 2024.</w:t>
      </w:r>
    </w:p>
    <w:p>
      <w:pPr>
        <w:spacing w:before="0" w:after="100" w:line="264" w:lineRule="auto"/>
      </w:pPr>
      <w:r>
        <w:rPr>
          <w:rFonts w:ascii="Arial" w:hAnsi="Arial" w:cs="Arial"/>
          <w:b/>
          <w:sz w:val="20"/>
          <w:szCs w:val="20"/>
        </w:rPr>
        <w:t xml:space="preserve">1.10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1.11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hd w:val="clear" w:color="auto" w:fill="E9E9E9"/>
        <w:spacing w:before="200" w:after="100" w:line="264" w:lineRule="auto"/>
      </w:pPr>
      <w:r>
        <w:rPr>
          <w:rFonts w:ascii="Arial" w:hAnsi="Arial" w:cs="Arial"/>
          <w:b/>
          <w:sz w:val="22"/>
          <w:szCs w:val="22"/>
        </w:rPr>
        <w:t xml:space="preserve">STRESSOR 1 - THE CONDITIONS IN WHICH THE WORK WAS CARRIED ON</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The console took about 270 to 440 calls on an eight-hour shift (Stressor 3(h)(v) below). Emergency codes were received and paged through it throughout the day (Stressor 3(h)).</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2025 (Part B.7.5)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states that, acting on HR's advice, she removed the email of 15 May 2024 from the shared Switchboard inbox (Part B.6.1).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shd w:val="clear" w:color="auto" w:fill="E9E9E9"/>
        <w:spacing w:before="200" w:after="100" w:line="264" w:lineRule="auto"/>
      </w:pPr>
      <w:r>
        <w:rPr>
          <w:rFonts w:ascii="Arial" w:hAnsi="Arial" w:cs="Arial"/>
          <w:b/>
          <w:sz w:val="22"/>
          <w:szCs w:val="22"/>
        </w:rPr>
        <w:t xml:space="preserve">STRESSOR 2 - REMUNERATION</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of delayed pay as a source of financial stress. The medical records are relied on for what was reported and for the clinical course. The pay events themselves are proved by the admitted payroll, myHR and pleading facts set out above.</w:t>
      </w:r>
    </w:p>
    <w:p>
      <w:pPr>
        <w:keepNext/>
        <w:shd w:val="clear" w:color="auto" w:fill="E9E9E9"/>
        <w:spacing w:before="200" w:after="100" w:line="264" w:lineRule="auto"/>
      </w:pPr>
      <w:r>
        <w:rPr>
          <w:rFonts w:ascii="Arial" w:hAnsi="Arial" w:cs="Arial"/>
          <w:b/>
          <w:sz w:val="22"/>
          <w:szCs w:val="22"/>
        </w:rPr>
        <w:t xml:space="preserve">STRESSOR 3 - THE ROSTER AND FATIGUE</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(Part B.7.5).</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(Part B.7.3).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(l)(ii) 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Matters after the date of injury are not relied on as causes of it and are not pleaded.</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00"/>
        <w:gridCol w:w="1900"/>
        <w:gridCol w:w="1700"/>
        <w:gridCol w:w="1338"/>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Appellant's request for the Manager's office hours, 15 May 2024 at 1:15 pm, to the Director's request to retract it, 6:23 pm the same day</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1(m)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 The Respondent's disclosure of 11 June 2025 (10 pages): the leave-form walkthrough for Process Reference 15480560, the emails of 15 May 2024 at 1:15 pm and 6:23 pm, the emails of 15 and 16 May 2024 concerning the complaint of 13 May 2024, and the complaint form; relied on at Stressor 1(n) for dates, senders and recipients only. Public documents relied on at Stressor 3: Queensland Health's Code Blue procedure 001443 (Royal Brisbane and Women's Hospital, version 5, April 2020), at 3(h)(i) for the types of Code Blue and the role of Switchboard Services; the Queensland Ombudsman's Neville Report (June 2006) and its 2011 update, and the Coroner's findings of 12 September 2008, at 3(l)(ii) for the origin of the fatigue framework; the monthly call statistics for April 2025, at 3(h)(v).</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______________________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