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6 below may be dealt with.</w:t>
      </w:r>
    </w:p>
    <w:p>
      <w:pPr>
        <w:spacing w:before="0" w:after="140" w:line="264" w:lineRule="auto"/>
        <w:ind w:left="440" w:hanging="440"/>
      </w:pPr>
      <w:r>
        <w:rPr>
          <w:rFonts w:ascii="Arial" w:hAnsi="Arial" w:cs="Arial"/>
          <w:sz w:val="20"/>
          <w:szCs w:val="20"/>
        </w:rPr>
        <w:t>2.</w:t>
        <w:tab/>
      </w:r>
      <w:r>
        <w:rPr>
          <w:rFonts w:ascii="Arial" w:hAnsi="Arial" w:cs="Arial"/>
          <w:b/>
          <w:sz w:val="20"/>
          <w:szCs w:val="20"/>
        </w:rPr>
        <w:t>That, at the opening of the conference, the Respondent state whether it maintains the contention in paragraph 27 of its amended statement of facts and contentions of 13 May 2026,</w:t>
      </w:r>
      <w:r>
        <w:rPr>
          <w:rFonts w:ascii="Arial" w:hAnsi="Arial" w:cs="Arial"/>
          <w:sz w:val="20"/>
          <w:szCs w:val="20"/>
        </w:rPr>
        <w:t xml:space="preserve"> having regard to its notified case as at 30 September 2026: (a) its review decision found that the Appellant sustained a personal injury of a psychological nature and that employment was a significant contributing factor, to the extent stated, and the claim was rejected under section 32(5) (facts 261 and 262); (b) paragraph 27 does not identify the management action relied upon (fact 303, admitted 8 September 2026); (c) it has named no medical or expert witness and served no expert report; and (d) its outlines of evidence describe the seven-hour break of 17 to 18 March 2024 as "the result of human error" and "a rostering practice issue for the line manager", and the second decline of the paid Special Pandemic Leave request as one that "appears to have been made in error"; and, if it maintains the contention, that it particularise it under 5 below.</w:t>
      </w:r>
    </w:p>
    <w:p>
      <w:pPr>
        <w:spacing w:before="0" w:after="140" w:line="264" w:lineRule="auto"/>
        <w:ind w:left="440" w:hanging="440"/>
      </w:pPr>
      <w:r>
        <w:rPr>
          <w:rFonts w:ascii="Arial" w:hAnsi="Arial" w:cs="Arial"/>
          <w:b w:val="0"/>
          <w:sz w:val="20"/>
          <w:szCs w:val="20"/>
        </w:rPr>
        <w:t>3.</w:t>
        <w:tab/>
        <w:t>That the Appellant have leave to file in the Industrial Registry and serve on the Respondent the Second Amended Statement of Facts and Contentions (Form 9A) enclosed, under section 451(2) of the Industrial Relations Act 2016. It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under directions 1 and 2 stand as filed and served on that date.</w:t>
      </w:r>
    </w:p>
    <w:p>
      <w:pPr>
        <w:spacing w:before="0" w:after="140" w:line="264" w:lineRule="auto"/>
        <w:ind w:left="440" w:hanging="440"/>
      </w:pPr>
      <w:r>
        <w:rPr>
          <w:rFonts w:ascii="Arial" w:hAnsi="Arial" w:cs="Arial"/>
          <w:sz w:val="20"/>
          <w:szCs w:val="20"/>
        </w:rPr>
        <w:t>4.</w:t>
        <w:tab/>
      </w:r>
      <w:r>
        <w:rPr>
          <w:rFonts w:ascii="Arial" w:hAnsi="Arial" w:cs="Arial"/>
          <w:b/>
          <w:sz w:val="20"/>
          <w:szCs w:val="20"/>
        </w:rPr>
        <w:t>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whose authenticity is not disputed by that date be taken to be authentic and received at the hearing.</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state, for each causal particular in the Second Amended Form 9A,</w:t>
      </w:r>
      <w:r>
        <w:rPr>
          <w:rFonts w:ascii="Arial" w:hAnsi="Arial" w:cs="Arial"/>
          <w:sz w:val="20"/>
          <w:szCs w:val="20"/>
        </w:rPr>
        <w:t xml:space="preserve"> namely 1(b), 1(d), 1(f) to 1(h), 1(k) and 1(l); 2(a) to 2(i) and 2(l) to 2(n); and 3(b) to 3(h),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and no answer is sought on them.</w:t>
      </w:r>
    </w:p>
    <w:p>
      <w:pPr>
        <w:spacing w:before="0" w:after="140" w:line="264" w:lineRule="auto"/>
        <w:ind w:left="440" w:hanging="440"/>
      </w:pPr>
      <w:r>
        <w:rPr>
          <w:rFonts w:ascii="Arial" w:hAnsi="Arial" w:cs="Arial"/>
          <w:sz w:val="20"/>
          <w:szCs w:val="20"/>
        </w:rPr>
        <w:t>6.</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7.</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and an index of the particulars; and the Second Amended Statement of Facts and Contentions (Form 9A).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Sig1" Type="http://schemas.openxmlformats.org/officeDocument/2006/relationships/image" Target="media/signature.png"/></Relationships>
</file>