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proposed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w:t>
      </w:r>
      <w:r>
        <w:rPr>
          <w:rFonts w:ascii="Arial" w:hAnsi="Arial" w:cs="Arial"/>
          <w:b w:val="0"/>
          <w:sz w:val="19"/>
          <w:szCs w:val="19"/>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under section 451(2) of the Industrial Relations Act 2016 to file and serve the proposed Second Amended Statement of Facts and Contentions (Form 9A) enclosed for the Commission's consideration. A copy is provided to the Respondent with this letter and its consent is sought. Since the Amended Form 9A of 7 April 2026, the Respondent has admitted, to the extent recorded in its response of 8 September 2026, </w:t>
      </w:r>
      <w:r>
        <w:rPr>
          <w:rFonts w:ascii="Arial" w:hAnsi="Arial" w:cs="Arial"/>
          <w:b/>
          <w:sz w:val="19"/>
          <w:szCs w:val="19"/>
        </w:rPr>
        <w:t xml:space="preserve">298 of the 303 facts</w:t>
      </w:r>
      <w:r>
        <w:rPr>
          <w:rFonts w:ascii="Arial" w:hAnsi="Arial" w:cs="Arial"/>
          <w:b w:val="0"/>
          <w:sz w:val="19"/>
          <w:szCs w:val="19"/>
        </w:rPr>
        <w:t xml:space="preserve"> in the Appellant's notice of 28 August 2026, and has admitted or since confirmed </w:t>
      </w:r>
      <w:r>
        <w:rPr>
          <w:rFonts w:ascii="Arial" w:hAnsi="Arial" w:cs="Arial"/>
          <w:b/>
          <w:sz w:val="19"/>
          <w:szCs w:val="19"/>
        </w:rPr>
        <w:t xml:space="preserve">29 of the 39 documents</w:t>
      </w:r>
      <w:r>
        <w:rPr>
          <w:rFonts w:ascii="Arial" w:hAnsi="Arial" w:cs="Arial"/>
          <w:b w:val="0"/>
          <w:sz w:val="19"/>
          <w:szCs w:val="19"/>
        </w:rPr>
        <w:t xml:space="preserve"> behind them. The amendment is sought because </w:t>
      </w:r>
      <w:r>
        <w:rPr>
          <w:rFonts w:ascii="Arial" w:hAnsi="Arial" w:cs="Arial"/>
          <w:b/>
          <w:sz w:val="19"/>
          <w:szCs w:val="19"/>
        </w:rPr>
        <w:t xml:space="preserve">the facts have since been largely settled by those admissions</w:t>
      </w:r>
      <w:r>
        <w:rPr>
          <w:rFonts w:ascii="Arial" w:hAnsi="Arial" w:cs="Arial"/>
          <w:b w:val="0"/>
          <w:sz w:val="19"/>
          <w:szCs w:val="19"/>
        </w:rPr>
        <w:t xml:space="preserve">. It reorganises the pleading around the admitted record rather than changing the case, so that the issues left for hearing are narrower: whether each circumstance was management action, whether any management action was reasonable and taken in a reasonable way, and causation. The proposed amendment accepts that </w:t>
      </w:r>
      <w:r>
        <w:rPr>
          <w:rFonts w:ascii="Arial" w:hAnsi="Arial" w:cs="Arial"/>
          <w:b/>
          <w:sz w:val="19"/>
          <w:szCs w:val="19"/>
        </w:rPr>
        <w:t xml:space="preserve">the onus of proof is on the Appellant</w:t>
      </w:r>
      <w:r>
        <w:rPr>
          <w:rFonts w:ascii="Arial" w:hAnsi="Arial" w:cs="Arial"/>
          <w:b w:val="0"/>
          <w:sz w:val="19"/>
          <w:szCs w:val="19"/>
        </w:rPr>
        <w:t xml:space="preserve">, withdraws the descriptions of conduct used in the earlier pleading, and </w:t>
      </w:r>
      <w:r>
        <w:rPr>
          <w:rFonts w:ascii="Arial" w:hAnsi="Arial" w:cs="Arial"/>
          <w:b/>
          <w:sz w:val="19"/>
          <w:szCs w:val="19"/>
        </w:rPr>
        <w:t xml:space="preserve">adds no new stressor or allegation</w:t>
      </w:r>
      <w:r>
        <w:rPr>
          <w:rFonts w:ascii="Arial" w:hAnsi="Arial" w:cs="Arial"/>
          <w:b w:val="0"/>
          <w:sz w:val="19"/>
          <w:szCs w:val="19"/>
        </w:rPr>
        <w:t xml:space="preserve">. </w:t>
      </w:r>
      <w:r>
        <w:rPr>
          <w:rFonts w:ascii="Arial" w:hAnsi="Arial" w:cs="Arial"/>
          <w:b/>
          <w:sz w:val="19"/>
          <w:szCs w:val="19"/>
        </w:rPr>
        <w:t xml:space="preserve">No hearing date has been set</w:t>
      </w:r>
      <w:r>
        <w:rPr>
          <w:rFonts w:ascii="Arial" w:hAnsi="Arial" w:cs="Arial"/>
          <w:b w:val="0"/>
          <w:sz w:val="19"/>
          <w:szCs w:val="19"/>
        </w:rPr>
        <w:t xml:space="preserve">. The Appellant does not oppose the Respondent having time to amend its own statement of facts and contentions if leave is granted. The Appellant's list of witnesses filed, and outlines of evidence served, on 9 September 2026 are not amended and stand as filed and served.</w:t>
      </w:r>
    </w:p>
    <w:p>
      <w:pPr>
        <w:spacing w:before="0" w:after="80" w:line="264" w:lineRule="auto"/>
      </w:pPr>
      <w:r>
        <w:rPr>
          <w:rFonts w:ascii="Arial" w:hAnsi="Arial" w:cs="Arial"/>
          <w:b/>
          <w:sz w:val="19"/>
          <w:szCs w:val="19"/>
        </w:rPr>
        <w:t xml:space="preserve">How the proposed Form 9A is arranged. </w:t>
      </w:r>
      <w:r>
        <w:rPr>
          <w:rFonts w:ascii="Arial" w:hAnsi="Arial" w:cs="Arial"/>
          <w:sz w:val="19"/>
          <w:szCs w:val="19"/>
        </w:rPr>
        <w:t xml:space="preserve">Each of the three stressors is pleaded so that it can be read and assessed on its own facts. An admitted fact is repeated where necessary to keep each stressor's sequence complete and to show the different part it plays there; read together, the three stressors show the whole course of employment circumstances relied on. Under each stressor, the list of stressors identifies the individual events relied on as causes; the other particulars are context, or the employer's record of how the matters were handled. The treating records are used for what was recorded clinically about that course and its effect, not to prove a disputed workplace event.</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w:t>
      </w:r>
      <w:r>
        <w:rPr>
          <w:rFonts w:ascii="Arial" w:hAnsi="Arial" w:cs="Arial"/>
          <w:b/>
          <w:sz w:val="19"/>
          <w:szCs w:val="19"/>
        </w:rPr>
        <w:t xml:space="preserve">employment was a significant contributing factor</w:t>
      </w:r>
      <w:r>
        <w:rPr>
          <w:rFonts w:ascii="Arial" w:hAnsi="Arial" w:cs="Arial"/>
          <w:sz w:val="19"/>
          <w:szCs w:val="19"/>
        </w:rPr>
        <w:t xml:space="preserve"> (facts 261 and 262); the claim was rejected under section 32(5). (2) Paragraph 27 of its amended statement of facts and contentions, which contends that any management action was reasonable management action taken in a reasonable way, </w:t>
      </w:r>
      <w:r>
        <w:rPr>
          <w:rFonts w:ascii="Arial" w:hAnsi="Arial" w:cs="Arial"/>
          <w:b/>
          <w:sz w:val="19"/>
          <w:szCs w:val="19"/>
        </w:rPr>
        <w:t xml:space="preserve">does not identify the management action relied upon</w:t>
      </w:r>
      <w:r>
        <w:rPr>
          <w:rFonts w:ascii="Arial" w:hAnsi="Arial" w:cs="Arial"/>
          <w:sz w:val="19"/>
          <w:szCs w:val="19"/>
        </w:rPr>
        <w:t xml:space="preserve">; that was admitted on 8 September 2026 (fact 303). That admission concerns paragraph 27; it does not dispose of the more specific explanations pleaded elsewhere in the Respondent's statement. (3) It has </w:t>
      </w:r>
      <w:r>
        <w:rPr>
          <w:rFonts w:ascii="Arial" w:hAnsi="Arial" w:cs="Arial"/>
          <w:b/>
          <w:sz w:val="19"/>
          <w:szCs w:val="19"/>
        </w:rPr>
        <w:t xml:space="preserve">named no medical or expert witness and served no expert report</w:t>
      </w:r>
      <w:r>
        <w:rPr>
          <w:rFonts w:ascii="Arial" w:hAnsi="Arial" w:cs="Arial"/>
          <w:sz w:val="19"/>
          <w:szCs w:val="19"/>
        </w:rPr>
        <w:t xml:space="preserve">: its list of 24 September 2026 names four witnesses, Ms Taylor, Ms Reese, Ms Wright and Ms Earl, described as "lay" witnesses, and it served outlines of their evidence. (4) Its outlines of evidence state that the seven-hour break of 17 to 18 March 2024 was </w:t>
      </w:r>
      <w:r>
        <w:rPr>
          <w:rFonts w:ascii="Arial" w:hAnsi="Arial" w:cs="Arial"/>
          <w:b/>
          <w:sz w:val="19"/>
          <w:szCs w:val="19"/>
        </w:rPr>
        <w:t xml:space="preserve">"the result of human error"</w:t>
      </w:r>
      <w:r>
        <w:rPr>
          <w:rFonts w:ascii="Arial" w:hAnsi="Arial" w:cs="Arial"/>
          <w:sz w:val="19"/>
          <w:szCs w:val="19"/>
        </w:rPr>
        <w:t xml:space="preserve"> and, on the advice returned within payroll, "a rostering practice issue for the line manager"; and that the second decline of the paid Special Pandemic Leave request </w:t>
      </w:r>
      <w:r>
        <w:rPr>
          <w:rFonts w:ascii="Arial" w:hAnsi="Arial" w:cs="Arial"/>
          <w:b/>
          <w:sz w:val="19"/>
          <w:szCs w:val="19"/>
        </w:rPr>
        <w:t xml:space="preserve">"appears to have been made in error"</w:t>
      </w:r>
      <w:r>
        <w:rPr>
          <w:rFonts w:ascii="Arial" w:hAnsi="Arial" w:cs="Arial"/>
          <w:sz w:val="19"/>
          <w:szCs w:val="19"/>
        </w:rPr>
        <w:t xml:space="preserve">.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notices to admit, the Respondent's responses of 8 September 2026 and the underlying documents were served between the parties and are available to the Commission in the form the Registry directs.</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Part 1 of the schedule on the following pages states the status of each of the 39 documents at Annexure A to the notices of 28 August 2026; Part 2 lists the other documents the pleading relies on; Part 3 indexes the dated particulars of the proposed Second Amended Form 9A and adds no stressor. The Appellant asks that the Respondent be directed, by a date fixed by the Commission, to state whether it maintains its dispute as to the authenticity of each of the ten outstanding documents and, for each dispute maintained, particularise the ground on which authenticity is disputed; that any dispute not so maintained cease to be in issue; and that the Appellant have liberty to apply in relation to any authenticity dispute remaining after that date. No direction as to relevance, weight or admissibility is presently sought.</w:t>
      </w:r>
    </w:p>
    <w:p>
      <w:pPr>
        <w:spacing w:before="0" w:after="80" w:line="264" w:lineRule="auto"/>
      </w:pPr>
      <w:r>
        <w:rPr>
          <w:rFonts w:ascii="Arial" w:hAnsi="Arial" w:cs="Arial"/>
          <w:b/>
          <w:sz w:val="19"/>
          <w:szCs w:val="19"/>
        </w:rPr>
        <w:t xml:space="preserve">Filing position. </w:t>
      </w:r>
      <w:r>
        <w:rPr>
          <w:rFonts w:ascii="Arial" w:hAnsi="Arial" w:cs="Arial"/>
          <w:sz w:val="19"/>
          <w:szCs w:val="19"/>
        </w:rPr>
        <w:t xml:space="preserve">The Appellant asks that the election and this letter be filed and placed before Commissioner Dwyer. The proposed Second Amended Form 9A is enclosed only for the Commission's consideration of the application for leave and is </w:t>
      </w:r>
      <w:r>
        <w:rPr>
          <w:rFonts w:ascii="Arial" w:hAnsi="Arial" w:cs="Arial"/>
          <w:b/>
          <w:sz w:val="19"/>
          <w:szCs w:val="19"/>
        </w:rPr>
        <w:t xml:space="preserve">not presently submitted for filing</w:t>
      </w:r>
      <w:r>
        <w:rPr>
          <w:rFonts w:ascii="Arial" w:hAnsi="Arial" w:cs="Arial"/>
          <w:sz w:val="19"/>
          <w:szCs w:val="19"/>
        </w:rPr>
        <w:t xml:space="preserve">. If leave is granted, the Appellant will supply a hard copy of the Form 9A to the Registry and will file and serve it in the form directed by the Commission or Registry.</w:t>
      </w:r>
    </w:p>
    <w:p>
      <w:pPr>
        <w:keepNext/>
        <w:spacing w:before="0" w:after="80" w:line="264" w:lineRule="auto"/>
      </w:pPr>
      <w:r>
        <w:rPr>
          <w:rFonts w:ascii="Arial" w:hAnsi="Arial" w:cs="Arial"/>
          <w:sz w:val="19"/>
          <w:szCs w:val="19"/>
        </w:rPr>
        <w:t xml:space="preserve">This letter accompanies the Appellant's election and requested directions. Enclosure for consideration: proposed Second Amended Statement of Facts and Contentions (Form 9A).</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pageBreakBefore/>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24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 xml:space="preserve">The Appellant asked the Respondent on 9 September 2026 to confirm the ten outstanding documents; the Respondent's email of 24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24 September 2026 does not address.</w:t>
      </w:r>
    </w:p>
    <w:p>
      <w:pPr>
        <w:keepNext/>
        <w:spacing w:before="0" w:after="120" w:line="264" w:lineRule="auto"/>
      </w:pPr>
      <w:r>
        <w:rPr>
          <w:rFonts w:ascii="Arial" w:hAnsi="Arial" w:cs="Arial"/>
          <w:b/>
          <w:sz w:val="19"/>
          <w:szCs w:val="19"/>
        </w:rPr>
        <w:t xml:space="preserve">Schedule, Part 2: other documents relied on in the proposed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1(l),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r>
              <w:rPr>
                <w:rFonts w:ascii="Arial" w:hAnsi="Arial"/>
                <w:color w:val="000000"/>
                <w:sz w:val="18"/>
              </w:rPr>
              <w:t>Stressors 1(e) and 1(l); for 1(i), the date of the complaint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 xml:space="preserve">Stressor 1, the operating conditions; 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 Fatigue Risk Management Systems Implementation Guideline QH-GDL-401-3.3:2021 (the full disclosed guideline)</w:t>
            </w:r>
          </w:p>
        </w:tc>
        <w:tc>
          <w:tcPr>
            <w:tcMar>
              <w:top w:w="65" w:type="dxa"/>
              <w:left w:w="80" w:type="dxa"/>
              <w:bottom w:w="65" w:type="dxa"/>
              <w:right w:w="80" w:type="dxa"/>
            </w:tcMar>
          </w:tcPr>
          <w:p>
            <w:r>
              <w:rPr>
                <w:rFonts w:ascii="Arial" w:hAnsi="Arial"/>
                <w:color w:val="000000"/>
                <w:sz w:val="18"/>
              </w:rPr>
              <w:t xml:space="preserve">Stressor 3(h) and the supporting fatigue records; the quotations from the guideline</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in full with the 20 May 2024 email chain on 14 July 2025. Tab 8A at Annexure A is the cover page only.</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b/>
          <w:sz w:val="19"/>
          <w:szCs w:val="19"/>
        </w:rPr>
        <w:t xml:space="preserve">Schedule, Part 3: index of the dated particulars in the proposed Second Amended Form 9A (index only; not additional stressors). </w:t>
      </w:r>
      <w:r>
        <w:rPr>
          <w:rFonts w:ascii="Arial" w:hAnsi="Arial" w:cs="Arial"/>
          <w:sz w:val="19"/>
          <w:szCs w:val="19"/>
        </w:rPr>
        <w:t xml:space="preserve">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later described the 30 March public holiday claim as submitted late; relied on as Payroll's later account, not as an admission.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followed up with HR and attached the fatigue guideline; record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identified adjustments for 28 February, 30 March and 1 April; record of when corrected.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identified a later amendment and pay date; record of when corrected.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recorded his fatigue concerns, a moderate rating and an undisclosed roster decision; internal record.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followed up her earlier query and attached the guideline; internal record.</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s>
</file>