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 xml:space="preserve">PROPOSED 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 xml:space="preserve">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 </w:t>
      </w:r>
      <w:r>
        <w:rPr>
          <w:rFonts w:ascii="Arial" w:hAnsi="Arial" w:cs="Arial"/>
          <w:b/>
          <w:sz w:val="20"/>
          <w:szCs w:val="20"/>
        </w:rPr>
        <w:t xml:space="preserve">The Appellant accepts that he bears the onus of proof</w:t>
      </w:r>
      <w:r>
        <w:rPr>
          <w:rFonts w:ascii="Arial" w:hAnsi="Arial" w:cs="Arial"/>
          <w:sz w:val="20"/>
          <w:szCs w:val="20"/>
        </w:rPr>
        <w:t xml:space="preserve"> (Part C, paragraph 1).</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the account of the operating conditions in Stressor 1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w:t>
      </w:r>
      <w:r>
        <w:rPr>
          <w:rFonts w:ascii="Arial" w:hAnsi="Arial" w:cs="Arial"/>
          <w:b/>
          <w:sz w:val="20"/>
          <w:szCs w:val="20"/>
        </w:rPr>
        <w:t xml:space="preserve">I am satisfied your employment was a significant contributing factor to the psychological injury</w:t>
      </w:r>
      <w:r>
        <w:rPr>
          <w:rFonts w:ascii="Arial" w:hAnsi="Arial" w:cs="Arial"/>
          <w:sz w:val="20"/>
          <w:szCs w:val="20"/>
        </w:rPr>
        <w:t xml:space="preserve">".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 xml:space="preserve">No medico-legal report has been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b w:val="0"/>
          <w:sz w:val="20"/>
          <w:szCs w:val="20"/>
        </w:rPr>
        <w:t xml:space="preserve">WC/2024/227 - Cory Lea Shepherd v Workers' Compensation Regulator. Set out for the purposes of Part 4.8 of the Workers' Compensation Appeal Guide. There are three stressors. Under each stressor, the individual events and issues relied on as causes are listed by number, date, short title and brief description; they are particulars of that stressor, not separate stressors. The other particulars pleaded below are context, or the employer's record of how the matters were handled, and are not listed as causes. An index of all the particulars is at Part 3 of the Schedule enclosed with the Appellant's letter; it adds no stressor.</w:t>
      </w:r>
      <w:r>
        <w:rPr>
          <w:rStyle w:val="CommentReference"/>
        </w:rPr>
      </w:r>
    </w:p>
    <w:tbl>
      <w:tblPr>
        <w:tblW w:w="9638" w:type="dxa"/>
        <w:tblBorders>
          <w:top w:val="single" w:sz="4" w:space="0" w:color="A6A6A6"/>
          <w:left w:val="single" w:sz="4" w:space="0" w:color="A6A6A6"/>
          <w:bottom w:val="single" w:sz="4" w:space="0" w:color="A6A6A6"/>
          <w:right w:val="single" w:sz="4" w:space="0" w:color="A6A6A6"/>
          <w:insideH w:val="single" w:sz="2" w:space="0" w:color="BFBFBF"/>
          <w:insideV w:val="single" w:sz="2" w:space="0" w:color="BFBFBF"/>
        </w:tblBorders>
      </w:tblPr>
      <w:tblGrid>
        <w:gridCol w:w="578"/>
        <w:gridCol w:w="1927"/>
        <w:gridCol w:w="1927"/>
        <w:gridCol w:w="5204"/>
      </w:tblGrid>
      <w:tr>
        <w:trPr>
          <w:tblHeader/>
          <w:tblHeader/>
        </w:trPr>
        <w:tc>
          <w:tcPr>
            <w:tcW w:type="dxa" w:w="652"/>
            <w:shd w:val="clear" w:color="auto" w:fill="E8E8E8"/>
            <w:tcMar>
              <w:top w:w="20" w:type="dxa"/>
              <w:left w:w="60" w:type="dxa"/>
              <w:bottom w:w="20" w:type="dxa"/>
              <w:right w:w="60" w:type="dxa"/>
            </w:tcMar>
          </w:tcPr>
          <w:p>
            <w:r>
              <w:rPr>
                <w:rFonts w:ascii="Arial" w:hAnsi="Arial"/>
                <w:b/>
                <w:color w:val="000000"/>
                <w:sz w:val="18"/>
              </w:rPr>
              <w:t xml:space="preserve">No.</w:t>
            </w:r>
          </w:p>
        </w:tc>
        <w:tc>
          <w:tcPr>
            <w:tcW w:type="dxa" w:w="1616"/>
            <w:shd w:val="clear" w:color="auto" w:fill="E8E8E8"/>
            <w:tcMar>
              <w:top w:w="20" w:type="dxa"/>
              <w:left w:w="60" w:type="dxa"/>
              <w:bottom w:w="20" w:type="dxa"/>
              <w:right w:w="60" w:type="dxa"/>
            </w:tcMar>
          </w:tcPr>
          <w:p>
            <w:r>
              <w:rPr>
                <w:rFonts w:ascii="Arial" w:hAnsi="Arial"/>
                <w:b/>
                <w:color w:val="000000"/>
                <w:sz w:val="18"/>
              </w:rPr>
              <w:t xml:space="preserve">Date or date range</w:t>
            </w:r>
          </w:p>
        </w:tc>
        <w:tc>
          <w:tcPr>
            <w:tcW w:type="dxa" w:w="2296"/>
            <w:shd w:val="clear" w:color="auto" w:fill="E8E8E8"/>
            <w:tcMar>
              <w:top w:w="20" w:type="dxa"/>
              <w:left w:w="60" w:type="dxa"/>
              <w:bottom w:w="20" w:type="dxa"/>
              <w:right w:w="60" w:type="dxa"/>
            </w:tcMar>
          </w:tcPr>
          <w:p>
            <w:r>
              <w:rPr>
                <w:rFonts w:ascii="Arial" w:hAnsi="Arial"/>
                <w:b/>
                <w:color w:val="000000"/>
                <w:sz w:val="18"/>
              </w:rPr>
              <w:t xml:space="preserve">Title</w:t>
            </w:r>
          </w:p>
        </w:tc>
        <w:tc>
          <w:tcPr>
            <w:tcW w:type="dxa" w:w="5017"/>
            <w:shd w:val="clear" w:color="auto" w:fill="E8E8E8"/>
            <w:tcMar>
              <w:top w:w="20" w:type="dxa"/>
              <w:left w:w="60" w:type="dxa"/>
              <w:bottom w:w="20" w:type="dxa"/>
              <w:right w:w="60" w:type="dxa"/>
            </w:tcMar>
          </w:tcPr>
          <w:p>
            <w:r>
              <w:rPr>
                <w:rFonts w:ascii="Arial" w:hAnsi="Arial"/>
                <w:b/>
                <w:color w:val="000000"/>
                <w:sz w:val="18"/>
              </w:rPr>
              <w:t xml:space="preserve">Description</w:t>
            </w:r>
          </w:p>
        </w:tc>
      </w:tr>
      <w:tr>
        <w:trPr>
          <w:cantSplit/>
        </w:trPr>
        <w:tc>
          <w:tcPr>
            <w:tcW w:type="dxa" w:w="652"/>
            <w:shd w:val="clear" w:color="auto" w:fill="F2F2F2"/>
            <w:tcMar>
              <w:top w:w="20" w:type="dxa"/>
              <w:left w:w="60" w:type="dxa"/>
              <w:bottom w:w="20" w:type="dxa"/>
              <w:right w:w="60" w:type="dxa"/>
            </w:tcMar>
          </w:tcPr>
          <w:p>
            <w:pPr>
              <w:spacing w:after="0" w:before="0" w:line="240" w:lineRule="auto"/>
            </w:pPr>
            <w:r>
              <w:rPr>
                <w:rFonts w:ascii="Arial" w:hAnsi="Arial"/>
                <w:b/>
                <w:color w:val="000000"/>
                <w:sz w:val="18"/>
              </w:rPr>
              <w:t xml:space="preserve">1</w:t>
            </w:r>
          </w:p>
        </w:tc>
        <w:tc>
          <w:tcPr>
            <w:tcW w:type="dxa" w:w="1616"/>
            <w:shd w:val="clear" w:color="auto" w:fill="F2F2F2"/>
            <w:tcMar>
              <w:top w:w="20" w:type="dxa"/>
              <w:left w:w="60" w:type="dxa"/>
              <w:bottom w:w="20" w:type="dxa"/>
              <w:right w:w="60" w:type="dxa"/>
            </w:tcMar>
          </w:tcPr>
          <w:p>
            <w:pPr>
              <w:spacing w:after="0" w:before="0" w:line="240" w:lineRule="auto"/>
            </w:pPr>
            <w:r>
              <w:rPr>
                <w:rFonts w:ascii="Arial" w:hAnsi="Arial"/>
                <w:b w:val="0"/>
                <w:color w:val="000000"/>
                <w:sz w:val="18"/>
              </w:rPr>
              <w:t xml:space="preserve">18 July 2023 to 18 June 2024; context from 6 June 2023</w:t>
            </w:r>
          </w:p>
        </w:tc>
        <w:tc>
          <w:tcPr>
            <w:tcW w:type="dxa" w:w="2296"/>
            <w:shd w:val="clear" w:color="auto" w:fill="F2F2F2"/>
            <w:tcMar>
              <w:top w:w="20" w:type="dxa"/>
              <w:left w:w="60" w:type="dxa"/>
              <w:bottom w:w="20" w:type="dxa"/>
              <w:right w:w="60" w:type="dxa"/>
            </w:tcMar>
          </w:tcPr>
          <w:p>
            <w:pPr>
              <w:spacing w:after="0" w:before="0" w:line="240" w:lineRule="auto"/>
            </w:pPr>
            <w:r>
              <w:rPr>
                <w:rFonts w:ascii="Arial" w:hAnsi="Arial"/>
                <w:b/>
                <w:color w:val="000000"/>
                <w:sz w:val="18"/>
              </w:rPr>
              <w:t xml:space="preserve">The conditions in which the work was carried on</w:t>
            </w:r>
          </w:p>
        </w:tc>
        <w:tc>
          <w:tcPr>
            <w:tcW w:type="dxa" w:w="5017"/>
            <w:shd w:val="clear" w:color="auto" w:fill="F2F2F2"/>
            <w:tcMar>
              <w:top w:w="20" w:type="dxa"/>
              <w:left w:w="60" w:type="dxa"/>
              <w:bottom w:w="20" w:type="dxa"/>
              <w:right w:w="60" w:type="dxa"/>
            </w:tcMar>
          </w:tcPr>
          <w:p>
            <w:pPr>
              <w:spacing w:after="0" w:before="0" w:line="240" w:lineRule="auto"/>
            </w:pPr>
            <w:r>
              <w:rPr>
                <w:rFonts w:ascii="Arial" w:hAnsi="Arial"/>
                <w:b w:val="0"/>
                <w:color w:val="000000"/>
                <w:sz w:val="18"/>
              </w:rPr>
              <w:t xml:space="preserve">Database access removed and not restored;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All of this in a role carrying high call volume, concurrent emergency codes and complaints arriving first at the Switchboard. Particulars 1(a) to 1(l); the causal particulars are listed below.</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1(b)</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18 July 2023 to 18 June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Database access and the restricted correction process</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Operators' access to the database removed and not restored; corrections only through the Coordinator (Tuesdays and every second Monday) or the Manager, and after-hours requests left to wait.</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1(d)</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23 August 2023 to 17 May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Notification of variable office hours</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The Manager stated that her hours would vary; no fixed office hours stated to staff for approximately nine months.</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1(f)</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15 April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After hours on call process changed</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A new on-call process, effective the day it was notified; no listed record of consultation.</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1(g)</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19 April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Data entry process changed</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A new checking process for data entry, introduced following data entry errors.</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1(h)</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2 to 9 May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Misdirected calls and the MASPER response</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Nine occasions of calls reaching the wrong team, including a MET-call enquiry, with the complaints reaching the Appellant in the registrars' own calls to the Switchboard; the Manager's first reply after 5 days, 18 hours and 14 minutes; a new process sent to staff on 9 May.</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1(k)</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15 to 20 May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Respiratory directory error and requests for correction</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Two high-importance requests from the Integrated Respiratory Service, with no response alleged; the Appellant's escalation to the Manager at 2:05 pm on 20 May; her reply at 4:30 pm, two hours after her stated office hours.</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1(l)</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15 to 21 May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Office hours request and the retraction response</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The Appellant's written request for the Manager's office hours at 1:15 pm; the Director's request that he retract it, 5 hours and 8 minutes later.</w:t>
            </w:r>
          </w:p>
        </w:tc>
      </w:tr>
      <w:tr>
        <w:trPr>
          <w:cantSplit/>
        </w:trPr>
        <w:tc>
          <w:tcPr>
            <w:tcW w:type="dxa" w:w="652"/>
            <w:shd w:val="clear" w:color="auto" w:fill="F2F2F2"/>
            <w:tcMar>
              <w:top w:w="20" w:type="dxa"/>
              <w:left w:w="60" w:type="dxa"/>
              <w:bottom w:w="20" w:type="dxa"/>
              <w:right w:w="60" w:type="dxa"/>
            </w:tcMar>
          </w:tcPr>
          <w:p>
            <w:pPr>
              <w:spacing w:after="0" w:before="0" w:line="240" w:lineRule="auto"/>
            </w:pPr>
            <w:r>
              <w:rPr>
                <w:rFonts w:ascii="Arial" w:hAnsi="Arial"/>
                <w:b/>
                <w:color w:val="000000"/>
                <w:sz w:val="18"/>
              </w:rPr>
              <w:t xml:space="preserve">2</w:t>
            </w:r>
          </w:p>
        </w:tc>
        <w:tc>
          <w:tcPr>
            <w:tcW w:type="dxa" w:w="1616"/>
            <w:shd w:val="clear" w:color="auto" w:fill="F2F2F2"/>
            <w:tcMar>
              <w:top w:w="20" w:type="dxa"/>
              <w:left w:w="60" w:type="dxa"/>
              <w:bottom w:w="20" w:type="dxa"/>
              <w:right w:w="60" w:type="dxa"/>
            </w:tcMar>
          </w:tcPr>
          <w:p>
            <w:pPr>
              <w:spacing w:after="0" w:before="0" w:line="240" w:lineRule="auto"/>
            </w:pPr>
            <w:r>
              <w:rPr>
                <w:rFonts w:ascii="Arial" w:hAnsi="Arial"/>
                <w:b w:val="0"/>
                <w:color w:val="000000"/>
                <w:sz w:val="18"/>
              </w:rPr>
              <w:t xml:space="preserve">9 February to 5 June 2024; later correction to 2 July 2025</w:t>
            </w:r>
          </w:p>
        </w:tc>
        <w:tc>
          <w:tcPr>
            <w:tcW w:type="dxa" w:w="2296"/>
            <w:shd w:val="clear" w:color="auto" w:fill="F2F2F2"/>
            <w:tcMar>
              <w:top w:w="20" w:type="dxa"/>
              <w:left w:w="60" w:type="dxa"/>
              <w:bottom w:w="20" w:type="dxa"/>
              <w:right w:w="60" w:type="dxa"/>
            </w:tcMar>
          </w:tcPr>
          <w:p>
            <w:pPr>
              <w:spacing w:after="0" w:before="0" w:line="240" w:lineRule="auto"/>
            </w:pPr>
            <w:r>
              <w:rPr>
                <w:rFonts w:ascii="Arial" w:hAnsi="Arial"/>
                <w:b/>
                <w:color w:val="000000"/>
                <w:sz w:val="18"/>
              </w:rPr>
              <w:t xml:space="preserve">Remuneration</w:t>
            </w:r>
          </w:p>
        </w:tc>
        <w:tc>
          <w:tcPr>
            <w:tcW w:type="dxa" w:w="5017"/>
            <w:shd w:val="clear" w:color="auto" w:fill="F2F2F2"/>
            <w:tcMar>
              <w:top w:w="20" w:type="dxa"/>
              <w:left w:w="60" w:type="dxa"/>
              <w:bottom w:w="20" w:type="dxa"/>
              <w:right w:w="60" w:type="dxa"/>
            </w:tcMar>
          </w:tcPr>
          <w:p>
            <w:pPr>
              <w:spacing w:after="0" w:before="0" w:line="240" w:lineRule="auto"/>
            </w:pPr>
            <w:r>
              <w:rPr>
                <w:rFonts w:ascii="Arial" w:hAnsi="Arial"/>
                <w:b w:val="0"/>
                <w:color w:val="000000"/>
                <w:sz w:val="18"/>
              </w:rPr>
              <w:t xml:space="preserve">Pay wrong in four fortnights; Payroll's direction of 3 May 2024 not actioned while the Appellant was asking about it, and still awaited on 21 May; a paid leave request declined twice, with the Respondent acknowledging that the attachments were present. Particulars 2(a) to 2(o); the causal particulars are listed below.</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2(a)</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9 February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Seven hours recorded instead of eight</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Shift under-recorded; the fortnight topped up from the Appellant's RDO balance.</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2(b)</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20 February to 1 March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Processing of paid pandemic leave</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The material provided four times; two declines; final approval after ten days; the Respondent pleads that the attachments were present.</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2(c)</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28 February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Second shift recorded as seven hours</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Shift under-recorded; the fortnight again topped up from the RDO balance.</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2(d)</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fortnight beginning 18 March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Overtime recorded as ordinary shifts</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Too many ordinary shifts recorded, reducing wages; one shift needed to be overtime.</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2(e)</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30 March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Public holiday claim submitted late</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On Payroll's later account, the public holiday claim was submitted late.</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2(f)</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fortnight beginning 1 April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Hours above the contracted fortnight</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Hours over the contracted 76, again requiring overtime.</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2(g)</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8 April to 1 May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Pay enquiry and public holiday review</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The Appellant's pay enquiry, his follow-up after more than two weeks, and a refusal on 1 May with the public holiday review still open.</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2(h)</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3 May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Payroll directed four fortnight corrections</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Payroll, copying the Appellant, directed the Manager to submit an AVAC for each of four fortnights.</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2(i)</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10 to 13 May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Follow-up found no correction</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The Appellant followed up; Payroll replied that nothing had been corrected and referred him back to the line manager.</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2(l)</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21 May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Manager awaited Payroll confirmation</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The Manager wrote that she was still waiting for payroll confirmation.</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2(m)</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28 May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Validation request</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The Manager asked the Appellant to sign a validation form for claims older than three months.</w:t>
            </w:r>
          </w:p>
        </w:tc>
      </w:tr>
      <w:tr>
        <w:trPr>
          <w:cantSplit/>
        </w:trPr>
        <w:tc>
          <w:tcPr>
            <w:tcW w:type="dxa" w:w="652"/>
            <w:shd w:val="clear" w:color="auto" w:fill="F2F2F2"/>
            <w:tcMar>
              <w:top w:w="20" w:type="dxa"/>
              <w:left w:w="60" w:type="dxa"/>
              <w:bottom w:w="20" w:type="dxa"/>
              <w:right w:w="60" w:type="dxa"/>
            </w:tcMar>
          </w:tcPr>
          <w:p>
            <w:pPr>
              <w:spacing w:after="0" w:before="0" w:line="240" w:lineRule="auto"/>
            </w:pPr>
            <w:r>
              <w:rPr>
                <w:rFonts w:ascii="Arial" w:hAnsi="Arial"/>
                <w:b/>
                <w:color w:val="000000"/>
                <w:sz w:val="18"/>
              </w:rPr>
              <w:t xml:space="preserve">3</w:t>
            </w:r>
          </w:p>
        </w:tc>
        <w:tc>
          <w:tcPr>
            <w:tcW w:type="dxa" w:w="1616"/>
            <w:shd w:val="clear" w:color="auto" w:fill="F2F2F2"/>
            <w:tcMar>
              <w:top w:w="20" w:type="dxa"/>
              <w:left w:w="60" w:type="dxa"/>
              <w:bottom w:w="20" w:type="dxa"/>
              <w:right w:w="60" w:type="dxa"/>
            </w:tcMar>
          </w:tcPr>
          <w:p>
            <w:pPr>
              <w:spacing w:after="0" w:before="0" w:line="240" w:lineRule="auto"/>
            </w:pPr>
            <w:r>
              <w:rPr>
                <w:rFonts w:ascii="Arial" w:hAnsi="Arial"/>
                <w:b w:val="0"/>
                <w:color w:val="000000"/>
                <w:sz w:val="18"/>
              </w:rPr>
              <w:t xml:space="preserve">17 March to 20 May 2024; context from 7 August 2023</w:t>
            </w:r>
          </w:p>
        </w:tc>
        <w:tc>
          <w:tcPr>
            <w:tcW w:type="dxa" w:w="2296"/>
            <w:shd w:val="clear" w:color="auto" w:fill="F2F2F2"/>
            <w:tcMar>
              <w:top w:w="20" w:type="dxa"/>
              <w:left w:w="60" w:type="dxa"/>
              <w:bottom w:w="20" w:type="dxa"/>
              <w:right w:w="60" w:type="dxa"/>
            </w:tcMar>
          </w:tcPr>
          <w:p>
            <w:pPr>
              <w:spacing w:after="0" w:before="0" w:line="240" w:lineRule="auto"/>
            </w:pPr>
            <w:r>
              <w:rPr>
                <w:rFonts w:ascii="Arial" w:hAnsi="Arial"/>
                <w:b/>
                <w:color w:val="000000"/>
                <w:sz w:val="18"/>
              </w:rPr>
              <w:t xml:space="preserve">The roster and fatigue</w:t>
            </w:r>
          </w:p>
        </w:tc>
        <w:tc>
          <w:tcPr>
            <w:tcW w:type="dxa" w:w="5017"/>
            <w:shd w:val="clear" w:color="auto" w:fill="F2F2F2"/>
            <w:tcMar>
              <w:top w:w="20" w:type="dxa"/>
              <w:left w:w="60" w:type="dxa"/>
              <w:bottom w:w="20" w:type="dxa"/>
              <w:right w:w="60" w:type="dxa"/>
            </w:tcMar>
          </w:tcPr>
          <w:p>
            <w:pPr>
              <w:spacing w:after="0" w:before="0" w:line="240" w:lineRule="auto"/>
            </w:pPr>
            <w:r>
              <w:rPr>
                <w:rFonts w:ascii="Arial" w:hAnsi="Arial"/>
                <w:b w:val="0"/>
                <w:color w:val="000000"/>
                <w:sz w:val="18"/>
              </w:rPr>
              <w:t xml:space="preserve">A seven-hour break rostered in that role against a minimum of ten hours, or eight by written agreement, with no staff-initiated swap alleged; sick leave the next day; the fatigue enquiry answered after 23 days with a refusal; the fatigue toolkit raised without feedback; no fatigue risk management at the Switchboard before 30 June 2024; and the Respondent's own review finding that the rostering was unreasonable management action. Particulars 3(a) to 3(h); the causal particulars are listed below.</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3(b)</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17 to 18 March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Consecutive shifts and the seven-hour break</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Rostered to finish at 23:00 and start at 06:00 on the Monday: seven hours, against ten or eight by written agreement; no swap alleged; on the Appellant's account, about 16 hours' work, 4 of travel and 4 of sleep.</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3(c)</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19 March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Sick leave after the consecutive shifts</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The next day recorded as the Appellant's own sick leave (7.60 hours); the Respondent says no fatigue leave was due.</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3(d)</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8 April to 1 May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Fatigue enquiry and refusal</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The fatigue enquiry answered after 23 days with a refusal relying on the 2020 agreement, with a note that he could end it "going forward".</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3(e)</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16 to 26 April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Roster line error and proposed alternatives</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A roster line error acknowledged; no contact about alternative shifts alleged.</w:t>
            </w:r>
          </w:p>
        </w:tc>
      </w:tr>
      <w:tr>
        <w:trPr>
          <w:cantSplit/>
        </w:trPr>
        <w:tc>
          <w:tcPr>
            <w:tcW w:type="dxa" w:w="652"/>
            <w:tcMar>
              <w:top w:w="20" w:type="dxa"/>
              <w:left w:w="60" w:type="dxa"/>
              <w:bottom w:w="20" w:type="dxa"/>
              <w:right w:w="60" w:type="dxa"/>
            </w:tcMar>
          </w:tcPr>
          <w:p>
            <w:pPr>
              <w:spacing w:after="0" w:before="0" w:line="240" w:lineRule="auto"/>
            </w:pPr>
            <w:r>
              <w:rPr>
                <w:rFonts w:ascii="Arial" w:hAnsi="Arial"/>
                <w:b w:val="0"/>
                <w:color w:val="000000"/>
                <w:sz w:val="17"/>
              </w:rPr>
              <w:t xml:space="preserve">3(f)</w:t>
            </w:r>
          </w:p>
        </w:tc>
        <w:tc>
          <w:tcPr>
            <w:tcW w:type="dxa" w:w="1616"/>
            <w:tcMar>
              <w:top w:w="20" w:type="dxa"/>
              <w:left w:w="60" w:type="dxa"/>
              <w:bottom w:w="20" w:type="dxa"/>
              <w:right w:w="60" w:type="dxa"/>
            </w:tcMar>
          </w:tcPr>
          <w:p>
            <w:pPr>
              <w:spacing w:after="0" w:before="0" w:line="240" w:lineRule="auto"/>
            </w:pPr>
            <w:r>
              <w:rPr>
                <w:rFonts w:ascii="Arial" w:hAnsi="Arial"/>
                <w:b w:val="0"/>
                <w:color w:val="000000"/>
                <w:sz w:val="17"/>
              </w:rPr>
              <w:t xml:space="preserve">1 to 8 May 2024</w:t>
            </w:r>
          </w:p>
        </w:tc>
        <w:tc>
          <w:tcPr>
            <w:tcW w:type="dxa" w:w="2296"/>
            <w:tcMar>
              <w:top w:w="20" w:type="dxa"/>
              <w:left w:w="60" w:type="dxa"/>
              <w:bottom w:w="20" w:type="dxa"/>
              <w:right w:w="60" w:type="dxa"/>
            </w:tcMar>
          </w:tcPr>
          <w:p>
            <w:pPr>
              <w:spacing w:after="0" w:before="0" w:line="240" w:lineRule="auto"/>
            </w:pPr>
            <w:r>
              <w:rPr>
                <w:rFonts w:ascii="Arial" w:hAnsi="Arial"/>
                <w:b w:val="0"/>
                <w:color w:val="000000"/>
                <w:sz w:val="17"/>
              </w:rPr>
              <w:t xml:space="preserve">Fatigue toolkit raised and HR advice awaited</w:t>
            </w:r>
          </w:p>
        </w:tc>
        <w:tc>
          <w:tcPr>
            <w:tcW w:type="dxa" w:w="5017"/>
            <w:tcMar>
              <w:top w:w="20" w:type="dxa"/>
              <w:left w:w="60" w:type="dxa"/>
              <w:bottom w:w="20" w:type="dxa"/>
              <w:right w:w="60" w:type="dxa"/>
            </w:tcMar>
          </w:tcPr>
          <w:p>
            <w:pPr>
              <w:spacing w:after="0" w:before="0" w:line="240" w:lineRule="auto"/>
            </w:pPr>
            <w:r>
              <w:rPr>
                <w:rFonts w:ascii="Arial" w:hAnsi="Arial"/>
                <w:b w:val="0"/>
                <w:color w:val="000000"/>
                <w:sz w:val="17"/>
              </w:rPr>
              <w:t xml:space="preserve">The Appellant raised the fatigue toolkit without feedback; the Director said HR advice was being sought.</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 xml:space="preserve">On 18 February 2026 the Respondent responded to an earlier notice to admit facts in this proceeding. [¶ 283] It admitted that "Maintaining accurate contact details for medical staff is a </w:t>
      </w:r>
      <w:r>
        <w:rPr>
          <w:rFonts w:ascii="Arial" w:hAnsi="Arial" w:cs="Arial"/>
          <w:b/>
          <w:sz w:val="20"/>
          <w:szCs w:val="20"/>
        </w:rPr>
        <w:t xml:space="preserve">critical function of the Switchboard to ensure effective clinical handover and patient safety</w:t>
      </w:r>
      <w:r>
        <w:rPr>
          <w:rFonts w:ascii="Arial" w:hAnsi="Arial" w:cs="Arial"/>
          <w:b w:val="0"/>
          <w:sz w:val="20"/>
          <w:szCs w:val="20"/>
        </w:rPr>
        <w:t xml:space="preserve">".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operating conditions: calls (context for the causal particulars). </w:t>
      </w:r>
      <w:r>
        <w:rPr>
          <w:rFonts w:ascii="Arial" w:hAnsi="Arial" w:cs="Arial"/>
          <w:b w:val="0"/>
          <w:sz w:val="20"/>
          <w:szCs w:val="20"/>
        </w:rPr>
        <w:t xml:space="preserve">The Appellant's evidence is that he handled several hundred calls on a shift, a substantial proportion of them from people who were distressed, frightened, in conflict or in crisis, and that he was often the first person a caller reached in an urgent situation; that he triaged and connected those calls, identifying which could not wait and routing each to the correct clinician or team while continuing to answer the queue; that he relayed urgent pathology and other clinical results between doctors; and that, when a caller in an emergency could not say where they were, he had to identify the source and location of the call so that help could be sent to the right place. The monthly call statistics for April 2025 record between 269 and 444 calls on an eight-hour shift (Stressor 3(b)).</w:t>
      </w:r>
    </w:p>
    <w:p>
      <w:pPr>
        <w:spacing w:before="0" w:after="100" w:line="264" w:lineRule="auto"/>
      </w:pPr>
      <w:r>
        <w:rPr>
          <w:rFonts w:ascii="Arial" w:hAnsi="Arial" w:cs="Arial"/>
          <w:b/>
          <w:sz w:val="20"/>
          <w:szCs w:val="20"/>
        </w:rPr>
        <w:t xml:space="preserve">Emergency codes, received and paged concurrently (context). </w:t>
      </w:r>
      <w:r>
        <w:rPr>
          <w:rFonts w:ascii="Arial" w:hAnsi="Arial" w:cs="Arial"/>
          <w:b w:val="0"/>
          <w:sz w:val="20"/>
          <w:szCs w:val="20"/>
        </w:rPr>
        <w:t xml:space="preserve">Emergency codes are received at the Switchboard, categorised by the operator by the type of emergency, and paged to the response group for that category within the time the procedure allows. [¶ 8] The Appellant's evidence is that each code was paged at the same time to a response team of about ten clinicians through the SPOK paging system; that codes and other urgent matters did not arrive one at a time, so that he managed concurrent emergency and security responses and time-critical clinical calls while continuing to manage the call queue; and that the number of codes varied from day to day. The Emergency Code Register records eight codes on 17 March 2024, eleven on 18 March and sixteen entries on 19 March (Stressor 3(b) and 3(c); Tab 31).</w:t>
      </w:r>
    </w:p>
    <w:p>
      <w:pPr>
        <w:spacing w:before="0" w:after="100" w:line="264" w:lineRule="auto"/>
      </w:pPr>
      <w:r>
        <w:rPr>
          <w:rFonts w:ascii="Arial" w:hAnsi="Arial" w:cs="Arial"/>
          <w:b/>
          <w:sz w:val="20"/>
          <w:szCs w:val="20"/>
        </w:rPr>
        <w:t xml:space="preserve">Complaints arriving at, and returning to, the Switchboard (context). </w:t>
      </w:r>
      <w:r>
        <w:rPr>
          <w:rFonts w:ascii="Arial" w:hAnsi="Arial" w:cs="Arial"/>
          <w:b w:val="0"/>
          <w:sz w:val="20"/>
          <w:szCs w:val="20"/>
        </w:rPr>
        <w:t xml:space="preserve">The Appellant's evidence is that complaints from the public, from clinicians and from staff across the hospital arrived first at the Switchboard, by telephone and to the shared Switchboard inbox, and came to him as the operator on duty; that he triaged them and resolved a substantial proportion himself, escalating those that needed management action; and that complaints that were not resolved returned to the Switchboard to be dealt with again, including complaints about the currency of the on-call roster and the telephone directory. On the employer's own account, complaints about Switchboard operational errors were made directly to the Line Manager and managed solely by email or verbally with the complainant [¶ 267], and no change to the Switchboard's operating procedures as a consequence of any employee complaint is alleged before 30 June 2024. [¶ 272] These operating conditions are pleaded as the setting in which the causal particulars at 1(b), 1(h) and 1(k), and at Stressor 3(b), occurred. They are the Appellant's evidence, not admitted counts, and they are not pleaded as separate causal particulars.</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w:t>
      </w:r>
      <w:r>
        <w:rPr>
          <w:rFonts w:ascii="Arial" w:hAnsi="Arial" w:cs="Arial"/>
          <w:b/>
          <w:sz w:val="20"/>
          <w:szCs w:val="20"/>
        </w:rPr>
        <w:t xml:space="preserve">does not allege that access to the database was restored</w:t>
      </w:r>
      <w:r>
        <w:rPr>
          <w:rFonts w:ascii="Arial" w:hAnsi="Arial" w:cs="Arial"/>
          <w:b/>
          <w:sz w:val="20"/>
          <w:szCs w:val="20"/>
        </w:rPr>
        <w:t xml:space="preserve">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 On 8 August 2023 he confirmed that he would work the replacement shift and was looking to pick up another. [¶ 29]</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xml:space="preserve">[¶ 73] </w:t>
      </w:r>
      <w:r>
        <w:rPr>
          <w:rFonts w:ascii="Arial" w:hAnsi="Arial" w:cs="Arial"/>
          <w:b/>
          <w:sz w:val="20"/>
          <w:szCs w:val="20"/>
        </w:rPr>
        <w:t xml:space="preserve">That is approximately nine months</w:t>
      </w:r>
      <w:r>
        <w:rPr>
          <w:rFonts w:ascii="Arial" w:hAnsi="Arial" w:cs="Arial"/>
          <w:b w:val="0"/>
          <w:sz w:val="20"/>
          <w:szCs w:val="20"/>
        </w:rPr>
        <w:t xml:space="preserve">.</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four times in all: once to the Manager, as requested, and then three times through myHR,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w:t>
      </w:r>
      <w:r>
        <w:rPr>
          <w:rFonts w:ascii="Arial" w:hAnsi="Arial" w:cs="Arial"/>
          <w:b/>
          <w:sz w:val="20"/>
          <w:szCs w:val="20"/>
        </w:rPr>
        <w:t xml:space="preserve">This new process is effective from today.</w:t>
      </w:r>
      <w:r>
        <w:rPr>
          <w:rFonts w:ascii="Arial" w:hAnsi="Arial" w:cs="Arial"/>
          <w:b w:val="0"/>
          <w:sz w:val="20"/>
          <w:szCs w:val="20"/>
        </w:rPr>
        <w:t xml:space="preserve">"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Manager's first reply was sent on 9 May at 9:20 am, </w:t>
      </w:r>
      <w:r>
        <w:rPr>
          <w:rFonts w:ascii="Arial" w:hAnsi="Arial" w:cs="Arial"/>
          <w:b/>
          <w:sz w:val="20"/>
          <w:szCs w:val="20"/>
        </w:rPr>
        <w:t xml:space="preserve">five days, eighteen hours and fourteen minutes after the first email</w:t>
      </w:r>
      <w:r>
        <w:rPr>
          <w:rFonts w:ascii="Arial" w:hAnsi="Arial" w:cs="Arial"/>
          <w:sz w:val="20"/>
          <w:szCs w:val="20"/>
        </w:rPr>
        <w:t xml:space="preserve">. [¶¶ 62 to 64] It was sent to the Registrar and Dr Wong,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 The Appellant's evidence is that the complaints about the misdirected calls reached him at the time in the registrars' own calls to the Switchboard, and that what he received from the Manager about them was her email to Logan Switch at 10:15 am on 9 May 2024, which stated that it included the email trail below it for reference. [¶¶ 66 to 67] The Registrar's emails of 3 and 8 May 2024 were addressed to the Manager and Dr Wong [¶¶ 56, 59]; the Appellant's evidence is that he saw them in that trail on 9 May 2024.</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the Manager's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 chronology only (13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It is pleaded for chronology only; no cause of the injury and no motive is alleged in connection with it.</w:t>
      </w:r>
    </w:p>
    <w:p>
      <w:pPr>
        <w:spacing w:before="0" w:after="100" w:line="264" w:lineRule="auto"/>
      </w:pPr>
      <w:r>
        <w:rPr>
          <w:rFonts w:ascii="Arial" w:hAnsi="Arial" w:cs="Arial"/>
          <w:b/>
          <w:sz w:val="20"/>
          <w:szCs w:val="20"/>
        </w:rPr>
        <w:t xml:space="preserve">1(j) On-call roster and absence notification instructions - context only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the Manager had stated to all Switchboard staff on 17 May 2024, the Appellant wrote to the Manager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Manager's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w:t>
      </w:r>
      <w:r>
        <w:rPr>
          <w:rFonts w:ascii="Arial" w:hAnsi="Arial" w:cs="Arial"/>
          <w:b/>
          <w:sz w:val="20"/>
          <w:szCs w:val="20"/>
        </w:rPr>
        <w:t xml:space="preserve">two hours after the conclusion of the office hours she had stated</w:t>
      </w:r>
      <w:r>
        <w:rPr>
          <w:rFonts w:ascii="Arial" w:hAnsi="Arial" w:cs="Arial"/>
          <w:sz w:val="20"/>
          <w:szCs w:val="20"/>
        </w:rPr>
        <w:t xml:space="preserve">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Manager's reply two hours and twenty-five minutes after that, two hours after the office hours she had stated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 xml:space="preserve">The request to retract it came </w:t>
      </w:r>
      <w:r>
        <w:rPr>
          <w:rFonts w:ascii="Arial" w:hAnsi="Arial" w:cs="Arial"/>
          <w:b/>
          <w:sz w:val="20"/>
          <w:szCs w:val="20"/>
        </w:rPr>
        <w:t xml:space="preserve">five hours and eight minutes later</w:t>
      </w:r>
      <w:r>
        <w:rPr>
          <w:rFonts w:ascii="Arial" w:hAnsi="Arial" w:cs="Arial"/>
          <w:b w:val="0"/>
          <w:sz w:val="20"/>
          <w:szCs w:val="20"/>
        </w:rPr>
        <w:t xml:space="preserve">,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"there have been no 'consequential' changes to operating procedures over the period requested" [¶ 266], and that "All employee complaints relating to Logan Hospital Switchboard operational errors are made directly to the Line Manager of Switch Board and managed solely via email or verbally with the complainant." [¶ 267] Its statements on fatigue risk management and on the record of MET calls are pleaded at Stressor 3 [¶¶ 263 to 265, 268].</w:t>
      </w:r>
    </w:p>
    <w:p>
      <w:pPr>
        <w:spacing w:before="0" w:after="100" w:line="264" w:lineRule="auto"/>
      </w:pPr>
      <w:r>
        <w:rPr>
          <w:rFonts w:ascii="Arial" w:hAnsi="Arial" w:cs="Arial"/>
          <w:sz w:val="20"/>
          <w:szCs w:val="20"/>
        </w:rPr>
        <w:t xml:space="preserve">The Respondent does not allege that any change was made to the operating procedures of the Switchboard as a consequence of any employee complaint at any time before 30 June 2024 [¶ 272]; its position on fatigue risk management before that date is pleaded at Stressor 3, supporting fatigue records [¶¶ 269 to 271].</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 xml:space="preserve">The Respondent's pleaded answer, including paragraph 27 of its statement, is at Part C, paragraph 10. [¶¶ 300 to 303] The matters at 1(a), 1(c), 1(e), 1(i) and 1(j), and at Part B.3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 xml:space="preserve">Particulars 2(a) to 2(i), 2(l) and 2(m) identify the entitlement and correction events the Appellant experienced before the certified injury date, and are the causal particulars. Particular 2(j) records a completed claim in the same period, and is context. Particulars 2(k), 2(n) and 2(o) are the record of how the concern and the corrections were handled, including when the corrections were finally made; they are relied on as proof of how long the matters at 2(a) to 2(m) remained unresolved, not as separate causes.</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 Payroll's later account (30 March 2024). </w:t>
      </w:r>
      <w:r>
        <w:rPr>
          <w:rFonts w:ascii="Arial" w:hAnsi="Arial" w:cs="Arial"/>
          <w:b w:val="0"/>
          <w:sz w:val="20"/>
          <w:szCs w:val="20"/>
        </w:rPr>
        <w:t xml:space="preserve">In its email to the Respondent of 11 July 2025, disclosed by the Respondent in July 2025, Payroll described the public holiday claim of 30 March 2024 as "submitted late" (Disclosure from witness conferencing - Qld Health Payroll, pp 2 to 3). This is relied on as Payroll's later account, not as an admission.</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 context only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 record only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 xml:space="preserve">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 The Appellant was not told at the time that the claim had been submitted, or its process reference; that status is relied on as the record of the claim, not as something known to him then.</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 record of when corrected (5 June 2024). </w:t>
      </w:r>
      <w:r>
        <w:rPr>
          <w:rFonts w:ascii="Arial" w:hAnsi="Arial" w:cs="Arial"/>
          <w:b w:val="0"/>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 This particular is relied on as the record of how long the matters at 2(c), 2(e) and 2(f) remained uncorrected, not as a separate cause.</w:t>
      </w:r>
    </w:p>
    <w:p>
      <w:pPr>
        <w:spacing w:before="0" w:after="100" w:line="264" w:lineRule="auto"/>
      </w:pPr>
      <w:r>
        <w:rPr>
          <w:rFonts w:ascii="Arial" w:hAnsi="Arial" w:cs="Arial"/>
          <w:b/>
          <w:sz w:val="20"/>
          <w:szCs w:val="20"/>
        </w:rPr>
        <w:t xml:space="preserve">2(o) Later correction of the 9 February shift - record of when corrected (30 June to 2 July 2025). </w:t>
      </w:r>
      <w:r>
        <w:rPr>
          <w:rFonts w:ascii="Arial" w:hAnsi="Arial" w:cs="Arial"/>
          <w:b w:val="0"/>
          <w:sz w:val="20"/>
          <w:szCs w:val="20"/>
        </w:rPr>
        <w:t xml:space="preserve">The shift of 9 February 2024 was not corrected on Payslip 06, pay date 5 June 2024. On Payroll's account it "was amended with an exemption for the Validation of Claims form on the 30.06.2025 and is on Payslip 07", for the pay period 9 to 22 June 2025, pay date 2 July 2025. The amendment was 423 days, and the pay date 425 days, after Payroll's direction of 3 May 2024; both were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 xml:space="preserve">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w:t>
      </w:r>
      <w:r>
        <w:rPr>
          <w:rFonts w:ascii="Arial" w:hAnsi="Arial" w:cs="Arial"/>
          <w:b/>
          <w:sz w:val="20"/>
          <w:szCs w:val="20"/>
        </w:rPr>
        <w:t xml:space="preserve">509 days after the shift was worked</w:t>
      </w:r>
      <w:r>
        <w:rPr>
          <w:rFonts w:ascii="Arial" w:hAnsi="Arial" w:cs="Arial"/>
          <w:b w:val="0"/>
          <w:sz w:val="20"/>
          <w:szCs w:val="20"/>
        </w:rPr>
        <w:t xml:space="preserve">.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 xml:space="preserve">The Respondent's pleaded answer, including paragraph 27 of its statement, is at Part C, paragraph 10 [¶¶ 238, 300 to 303]. The employer's letter of 5 June 2026 on operating procedures and complaint handling is pleaded at Stressor 1, supporting records [¶¶ 266 to 267, 272].</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 xml:space="preserve">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3(f). Particular 3(a) is pleaded as context, not as a separate cause. Particulars 3(g) and 3(h) are the employer's internal record of how the fatigue concern was being handled; they are relied on as proof of the matters at 3(d) to 3(f), not as separate causes.</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 xml:space="preserve">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w:t>
      </w:r>
      <w:r>
        <w:rPr>
          <w:rFonts w:ascii="Arial" w:hAnsi="Arial" w:cs="Arial"/>
          <w:b/>
          <w:sz w:val="20"/>
          <w:szCs w:val="20"/>
        </w:rPr>
        <w:t xml:space="preserve">is only applied where staff initiated shift swaps have occurred</w:t>
      </w:r>
      <w:r>
        <w:rPr>
          <w:rFonts w:ascii="Arial" w:hAnsi="Arial" w:cs="Arial"/>
          <w:b w:val="0"/>
          <w:sz w:val="20"/>
          <w:szCs w:val="20"/>
        </w:rPr>
        <w:t xml:space="preserve">".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 xml:space="preserve">The review decision records that Ms Sandra Johnstone was the Switchboard Line Manager as at 8 December 2021, that Ms Danielle Cook was the "previous Switchboard Manager", and that "Ms Taylor was subsequently appointed to the Switchboard Manager role". [¶¶ 23 to 24] The Respondent </w:t>
      </w:r>
      <w:r>
        <w:rPr>
          <w:rFonts w:ascii="Arial" w:hAnsi="Arial" w:cs="Arial"/>
          <w:b/>
          <w:sz w:val="20"/>
          <w:szCs w:val="20"/>
        </w:rPr>
        <w:t xml:space="preserve">does not allege that Ms Taylor was the Switchboard Manager on 17 June 2020</w:t>
      </w:r>
      <w:r>
        <w:rPr>
          <w:rFonts w:ascii="Arial" w:hAnsi="Arial" w:cs="Arial"/>
          <w:b w:val="0"/>
          <w:sz w:val="20"/>
          <w:szCs w:val="20"/>
        </w:rPr>
        <w:t xml:space="preserve">.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 xml:space="preserve">The Respondent does not allege that the agreement was reviewed, re-executed or re-confirmed at any time between 17 June 2020 and 18 March 2024 [¶ 21], or that </w:t>
      </w:r>
      <w:r>
        <w:rPr>
          <w:rFonts w:ascii="Arial" w:hAnsi="Arial" w:cs="Arial"/>
          <w:b/>
          <w:sz w:val="20"/>
          <w:szCs w:val="20"/>
        </w:rPr>
        <w:t xml:space="preserve">the Appellant was informed, at any time before 1 May 2024, that it could be terminated by him</w:t>
      </w:r>
      <w:r>
        <w:rPr>
          <w:rFonts w:ascii="Arial" w:hAnsi="Arial" w:cs="Arial"/>
          <w:b w:val="0"/>
          <w:sz w:val="20"/>
          <w:szCs w:val="20"/>
        </w:rPr>
        <w:t xml:space="preserve">.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 context only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 xml:space="preserve">The Appellant was rostered to finish at 23:00 on 17 March 2024 and to commence at 06:00 on 18 March 2024, </w:t>
      </w:r>
      <w:r>
        <w:rPr>
          <w:rFonts w:ascii="Arial" w:hAnsi="Arial" w:cs="Arial"/>
          <w:b/>
          <w:sz w:val="20"/>
          <w:szCs w:val="20"/>
        </w:rPr>
        <w:t xml:space="preserve">a break of seven hours</w:t>
      </w:r>
      <w:r>
        <w:rPr>
          <w:rFonts w:ascii="Arial" w:hAnsi="Arial" w:cs="Arial"/>
          <w:b w:val="0"/>
          <w:sz w:val="20"/>
          <w:szCs w:val="20"/>
        </w:rPr>
        <w:t xml:space="preserve">.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 The Appellant's evidence is that on that shift, after the short break, he managed the emergency codes and doctor pages through the SPOK paging system while fatigued.</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w:t>
      </w:r>
      <w:r>
        <w:rPr>
          <w:rFonts w:ascii="Arial" w:hAnsi="Arial" w:cs="Arial"/>
          <w:b/>
          <w:sz w:val="20"/>
          <w:szCs w:val="20"/>
        </w:rPr>
        <w:t xml:space="preserve">23 days later, with a refusal</w:t>
      </w:r>
      <w:r>
        <w:rPr>
          <w:rFonts w:ascii="Arial" w:hAnsi="Arial" w:cs="Arial"/>
          <w:sz w:val="20"/>
          <w:szCs w:val="20"/>
        </w:rPr>
        <w:t xml:space="preserve">. In between were the acknowledgment of 9 April, the escalation to Human Resources, and the Appellant's email of 24 April; no other response is alleged. [¶¶ 242 to 250] So the day after the consecutive shifts was recorded against the Appellant's own sick leave [¶ 235], and the Respondent says no fatigue leave was due for it [¶¶ 236 to 237]. The refusal relied on an agreement signed at a time the Respondent does not allege the Manager held that role, and never reviewed; the Respondent does not allege that he was told, before that day, that he could end it "going forward". [¶¶ 21 to 22, 25,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 The employer's internal record of how that concern was being handled is at 3(g) and 3(h); the email of 10 May 2024 records that the Appellant was "not yet aware" of the roster decision. [¶ 221]</w:t>
      </w:r>
    </w:p>
    <w:p>
      <w:pPr>
        <w:spacing w:before="0" w:after="100" w:line="264" w:lineRule="auto"/>
      </w:pPr>
      <w:r>
        <w:rPr>
          <w:rFonts w:ascii="Arial" w:hAnsi="Arial" w:cs="Arial"/>
          <w:b/>
          <w:sz w:val="20"/>
          <w:szCs w:val="20"/>
        </w:rPr>
        <w:t xml:space="preserve">3(g) Risk rating and roster decision recorded - internal record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w:t>
      </w:r>
      <w:r>
        <w:rPr>
          <w:rFonts w:ascii="Arial" w:hAnsi="Arial" w:cs="Arial"/>
          <w:b/>
          <w:sz w:val="20"/>
          <w:szCs w:val="20"/>
        </w:rPr>
        <w:t xml:space="preserve">Cory's roster will not be considered, however Cory is not yet aware of this</w:t>
      </w:r>
      <w:r>
        <w:rPr>
          <w:rFonts w:ascii="Arial" w:hAnsi="Arial" w:cs="Arial"/>
          <w:sz w:val="20"/>
          <w:szCs w:val="20"/>
        </w:rPr>
        <w:t xml:space="preserve">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 internal record (20 May 2024). </w:t>
      </w:r>
      <w:r>
        <w:rPr>
          <w:rFonts w:ascii="Arial" w:hAnsi="Arial" w:cs="Arial"/>
          <w:b w:val="0"/>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full guideline was disclosed with that email chain on 14 July 2025 and is identified separately in Schedule Part 2; Tab 8A is the cover page only. The following passages are from the disclosed guideline.</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w:t>
      </w:r>
      <w:r>
        <w:rPr>
          <w:rFonts w:ascii="Arial" w:hAnsi="Arial" w:cs="Arial"/>
          <w:b/>
          <w:sz w:val="20"/>
          <w:szCs w:val="20"/>
        </w:rPr>
        <w:t xml:space="preserve">occurred after 30 June 2024</w:t>
      </w:r>
      <w:r>
        <w:rPr>
          <w:rFonts w:ascii="Arial" w:hAnsi="Arial" w:cs="Arial"/>
          <w:b w:val="0"/>
          <w:sz w:val="20"/>
          <w:szCs w:val="20"/>
        </w:rPr>
        <w:t xml:space="preserve">".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It is the guideline the Director sent to Human Resources on 20 May 2024 [¶¶ 222 to 223], ten days after she and the Manager had assessed the fatigue risk of the Appellant's roster as moderate [¶ 219]; the Chief Executive's letter states that fatigue risk management assessment at the Switchboard was implemented only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w:t>
      </w:r>
      <w:r>
        <w:rPr>
          <w:rFonts w:ascii="Arial" w:hAnsi="Arial" w:cs="Arial"/>
          <w:b/>
          <w:sz w:val="20"/>
          <w:szCs w:val="20"/>
        </w:rPr>
        <w:t xml:space="preserve">amounted to unreasonable management action</w:t>
      </w:r>
      <w:r>
        <w:rPr>
          <w:rFonts w:ascii="Arial" w:hAnsi="Arial" w:cs="Arial"/>
          <w:sz w:val="20"/>
          <w:szCs w:val="20"/>
        </w:rPr>
        <w:t xml:space="preserve">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 xml:space="preserve">Beyond the agreement and the sick-leave matters at 3(c), the Respondent's pleaded answer, including paragraph 27 of its statement, is at Part C, paragraph 10 [¶¶ 238, 300 to 303]; its account of how complaints were handled is pleaded at Stressor 1, supporting records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space="0" w:color="A6A6A6"/>
          <w:left w:val="single" w:sz="4" w:space="0" w:color="A6A6A6"/>
          <w:bottom w:val="single" w:sz="4" w:space="0" w:color="A6A6A6"/>
          <w:right w:val="single" w:sz="4" w:space="0" w:color="A6A6A6"/>
          <w:insideH w:val="single" w:sz="2" w:space="0" w:color="BFBFBF"/>
          <w:insideV w:val="single" w:sz="2" w:space="0" w:color="BFBFBF"/>
        </w:tblBorders>
      </w:tblPr>
      <w:tblGrid>
        <w:gridCol w:w="4722"/>
        <w:gridCol w:w="1927"/>
        <w:gridCol w:w="1638"/>
        <w:gridCol w:w="1349"/>
      </w:tblGrid>
      <w:tr>
        <w:trPr>
          <w:tblHeader/>
          <w:tblHeader/>
        </w:trPr>
        <w:tc>
          <w:tcPr>
            <w:shd w:val="clear" w:color="auto" w:fill="E8E8E8"/>
            <w:tcMar>
              <w:top w:w="20" w:type="dxa"/>
              <w:left w:w="60" w:type="dxa"/>
              <w:bottom w:w="20" w:type="dxa"/>
              <w:right w:w="60" w:type="dxa"/>
            </w:tcMar>
          </w:tcPr>
          <w:p>
            <w:pPr>
              <w:spacing w:after="0"/>
            </w:pPr>
            <w:r>
              <w:rPr>
                <w:rFonts w:ascii="Arial" w:hAnsi="Arial" w:cs="Arial"/>
                <w:b/>
                <w:color w:val="000000"/>
                <w:sz w:val="17"/>
                <w:szCs w:val="17"/>
              </w:rPr>
              <w:t xml:space="preserve">Interval</w:t>
            </w:r>
          </w:p>
        </w:tc>
        <w:tc>
          <w:tcPr>
            <w:shd w:val="clear" w:color="auto" w:fill="E8E8E8"/>
            <w:tcMar>
              <w:top w:w="20" w:type="dxa"/>
              <w:left w:w="60" w:type="dxa"/>
              <w:bottom w:w="20" w:type="dxa"/>
              <w:right w:w="60" w:type="dxa"/>
            </w:tcMar>
          </w:tcPr>
          <w:p>
            <w:pPr>
              <w:spacing w:after="0"/>
            </w:pPr>
            <w:r>
              <w:rPr>
                <w:rFonts w:ascii="Arial" w:hAnsi="Arial" w:cs="Arial"/>
                <w:b/>
                <w:color w:val="000000"/>
                <w:sz w:val="17"/>
                <w:szCs w:val="17"/>
              </w:rPr>
              <w:t xml:space="preserve">Length</w:t>
            </w:r>
          </w:p>
        </w:tc>
        <w:tc>
          <w:tcPr>
            <w:shd w:val="clear" w:color="auto" w:fill="E8E8E8"/>
            <w:tcMar>
              <w:top w:w="20" w:type="dxa"/>
              <w:left w:w="60" w:type="dxa"/>
              <w:bottom w:w="20" w:type="dxa"/>
              <w:right w:w="60" w:type="dxa"/>
            </w:tcMar>
          </w:tcPr>
          <w:p>
            <w:pPr>
              <w:spacing w:after="0"/>
            </w:pPr>
            <w:r>
              <w:rPr>
                <w:rFonts w:ascii="Arial" w:hAnsi="Arial" w:cs="Arial"/>
                <w:b/>
                <w:color w:val="000000"/>
                <w:sz w:val="17"/>
                <w:szCs w:val="17"/>
              </w:rPr>
              <w:t xml:space="preserve">Where pleaded</w:t>
            </w:r>
          </w:p>
        </w:tc>
        <w:tc>
          <w:tcPr>
            <w:shd w:val="clear" w:color="auto" w:fill="E8E8E8"/>
            <w:tcMar>
              <w:top w:w="20" w:type="dxa"/>
              <w:left w:w="60" w:type="dxa"/>
              <w:bottom w:w="20" w:type="dxa"/>
              <w:right w:w="60" w:type="dxa"/>
            </w:tcMar>
          </w:tcPr>
          <w:p>
            <w:pPr>
              <w:spacing w:after="0"/>
            </w:pPr>
            <w:r>
              <w:rPr>
                <w:rFonts w:ascii="Arial" w:hAnsi="Arial" w:cs="Arial"/>
                <w:b/>
                <w:color w:val="000000"/>
                <w:sz w:val="17"/>
                <w:szCs w:val="17"/>
              </w:rPr>
              <w:t xml:space="preserve">Facts</w:t>
            </w:r>
          </w:p>
        </w:tc>
      </w:tr>
      <w:tr>
        <w:trPr/>
        <w:tc>
          <w:tcPr>
            <w:tcMar>
              <w:top w:w="20" w:type="dxa"/>
              <w:left w:w="60" w:type="dxa"/>
              <w:bottom w:w="20" w:type="dxa"/>
              <w:right w:w="6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20" w:type="dxa"/>
              <w:left w:w="60" w:type="dxa"/>
              <w:bottom w:w="20" w:type="dxa"/>
              <w:right w:w="60" w:type="dxa"/>
            </w:tcMar>
          </w:tcPr>
          <w:p>
            <w:pPr>
              <w:spacing w:after="0"/>
            </w:pPr>
            <w:r>
              <w:rPr>
                <w:rFonts w:ascii="Arial" w:hAnsi="Arial" w:cs="Arial"/>
                <w:color w:val="000000"/>
                <w:sz w:val="17"/>
                <w:szCs w:val="17"/>
              </w:rPr>
              <w:t xml:space="preserve">7 hours</w:t>
            </w:r>
          </w:p>
        </w:tc>
        <w:tc>
          <w:tcPr>
            <w:tcMar>
              <w:top w:w="20" w:type="dxa"/>
              <w:left w:w="60" w:type="dxa"/>
              <w:bottom w:w="20" w:type="dxa"/>
              <w:right w:w="60" w:type="dxa"/>
            </w:tcMar>
          </w:tcPr>
          <w:p>
            <w:r>
              <w:rPr>
                <w:rFonts w:ascii="Arial" w:hAnsi="Arial"/>
                <w:color w:val="000000"/>
                <w:sz w:val="18"/>
              </w:rPr>
              <w:t>3(b); Stressor 3 minimum-break and review-decision paragraphs</w:t>
            </w:r>
          </w:p>
        </w:tc>
        <w:tc>
          <w:tcPr>
            <w:tcMar>
              <w:top w:w="20" w:type="dxa"/>
              <w:left w:w="60" w:type="dxa"/>
              <w:bottom w:w="20" w:type="dxa"/>
              <w:right w:w="60" w:type="dxa"/>
            </w:tcMar>
          </w:tcPr>
          <w:p>
            <w:pPr>
              <w:spacing w:after="0"/>
            </w:pPr>
            <w:r>
              <w:rPr>
                <w:rFonts w:ascii="Arial" w:hAnsi="Arial" w:cs="Arial"/>
                <w:color w:val="000000"/>
                <w:sz w:val="17"/>
                <w:szCs w:val="17"/>
              </w:rPr>
              <w:t xml:space="preserve">¶¶ 284 to 285, 225, 234, 251, 260</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MASPER Registrar's first report, 3 May 2024 at 3:06 pm, to the Manager's first reply, 9 May 2024 at 9:20 am (her second report was sent on the fifth calendar day; the reply on the sixth)</w:t>
            </w:r>
          </w:p>
        </w:tc>
        <w:tc>
          <w:tcPr>
            <w:tcMar>
              <w:top w:w="20" w:type="dxa"/>
              <w:left w:w="60" w:type="dxa"/>
              <w:bottom w:w="20" w:type="dxa"/>
              <w:right w:w="60" w:type="dxa"/>
            </w:tcMar>
          </w:tcPr>
          <w:p>
            <w:pPr>
              <w:spacing w:after="0"/>
            </w:pPr>
            <w:r>
              <w:rPr>
                <w:rFonts w:ascii="Arial" w:hAnsi="Arial" w:cs="Arial"/>
                <w:color w:val="000000"/>
                <w:sz w:val="17"/>
                <w:szCs w:val="17"/>
              </w:rPr>
              <w:t xml:space="preserve">5 days, 18 hours, 14 minutes</w:t>
            </w:r>
          </w:p>
        </w:tc>
        <w:tc>
          <w:tcPr>
            <w:tcMar>
              <w:top w:w="20" w:type="dxa"/>
              <w:left w:w="60" w:type="dxa"/>
              <w:bottom w:w="20" w:type="dxa"/>
              <w:right w:w="60" w:type="dxa"/>
            </w:tcMar>
          </w:tcPr>
          <w:p>
            <w:r>
              <w:rPr>
                <w:rFonts w:ascii="Arial" w:hAnsi="Arial"/>
                <w:color w:val="000000"/>
                <w:sz w:val="18"/>
              </w:rPr>
              <w:t>1(h)</w:t>
            </w:r>
          </w:p>
        </w:tc>
        <w:tc>
          <w:tcPr>
            <w:tcMar>
              <w:top w:w="20" w:type="dxa"/>
              <w:left w:w="60" w:type="dxa"/>
              <w:bottom w:w="20" w:type="dxa"/>
              <w:right w:w="60" w:type="dxa"/>
            </w:tcMar>
          </w:tcPr>
          <w:p>
            <w:pPr>
              <w:spacing w:after="0"/>
            </w:pPr>
            <w:r>
              <w:rPr>
                <w:rFonts w:ascii="Arial" w:hAnsi="Arial" w:cs="Arial"/>
                <w:color w:val="000000"/>
                <w:sz w:val="17"/>
                <w:szCs w:val="17"/>
              </w:rPr>
              <w:t xml:space="preserve">¶¶ 62 to 64</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20" w:type="dxa"/>
              <w:left w:w="60" w:type="dxa"/>
              <w:bottom w:w="20" w:type="dxa"/>
              <w:right w:w="60" w:type="dxa"/>
            </w:tcMar>
          </w:tcPr>
          <w:p>
            <w:pPr>
              <w:spacing w:after="0"/>
            </w:pPr>
            <w:r>
              <w:rPr>
                <w:rFonts w:ascii="Arial" w:hAnsi="Arial" w:cs="Arial"/>
                <w:color w:val="000000"/>
                <w:sz w:val="17"/>
                <w:szCs w:val="17"/>
              </w:rPr>
              <w:t xml:space="preserve">the fifth calendar day</w:t>
            </w:r>
          </w:p>
        </w:tc>
        <w:tc>
          <w:tcPr>
            <w:tcMar>
              <w:top w:w="20" w:type="dxa"/>
              <w:left w:w="60" w:type="dxa"/>
              <w:bottom w:w="20" w:type="dxa"/>
              <w:right w:w="60" w:type="dxa"/>
            </w:tcMar>
          </w:tcPr>
          <w:p>
            <w:r>
              <w:rPr>
                <w:rFonts w:ascii="Arial" w:hAnsi="Arial"/>
                <w:color w:val="000000"/>
                <w:sz w:val="18"/>
              </w:rPr>
              <w:t>1(k)</w:t>
            </w:r>
          </w:p>
        </w:tc>
        <w:tc>
          <w:tcPr>
            <w:tcMar>
              <w:top w:w="20" w:type="dxa"/>
              <w:left w:w="60" w:type="dxa"/>
              <w:bottom w:w="20" w:type="dxa"/>
              <w:right w:w="60" w:type="dxa"/>
            </w:tcMar>
          </w:tcPr>
          <w:p>
            <w:pPr>
              <w:spacing w:after="0"/>
            </w:pPr>
            <w:r>
              <w:rPr>
                <w:rFonts w:ascii="Arial" w:hAnsi="Arial" w:cs="Arial"/>
                <w:color w:val="000000"/>
                <w:sz w:val="17"/>
                <w:szCs w:val="17"/>
              </w:rPr>
              <w:t xml:space="preserve">¶ 92</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That first email to the Appellant's escalation, 20 May 2024 at 2:05 pm</w:t>
            </w:r>
          </w:p>
        </w:tc>
        <w:tc>
          <w:tcPr>
            <w:tcMar>
              <w:top w:w="20" w:type="dxa"/>
              <w:left w:w="60" w:type="dxa"/>
              <w:bottom w:w="20" w:type="dxa"/>
              <w:right w:w="60" w:type="dxa"/>
            </w:tcMar>
          </w:tcPr>
          <w:p>
            <w:pPr>
              <w:spacing w:after="0"/>
            </w:pPr>
            <w:r>
              <w:rPr>
                <w:rFonts w:ascii="Arial" w:hAnsi="Arial" w:cs="Arial"/>
                <w:color w:val="000000"/>
                <w:sz w:val="17"/>
                <w:szCs w:val="17"/>
              </w:rPr>
              <w:t xml:space="preserve">5 days, 2 hours, 18 minutes</w:t>
            </w:r>
          </w:p>
        </w:tc>
        <w:tc>
          <w:tcPr>
            <w:tcMar>
              <w:top w:w="20" w:type="dxa"/>
              <w:left w:w="60" w:type="dxa"/>
              <w:bottom w:w="20" w:type="dxa"/>
              <w:right w:w="60" w:type="dxa"/>
            </w:tcMar>
          </w:tcPr>
          <w:p>
            <w:r>
              <w:rPr>
                <w:rFonts w:ascii="Arial" w:hAnsi="Arial"/>
                <w:color w:val="000000"/>
                <w:sz w:val="18"/>
              </w:rPr>
              <w:t>1(k)</w:t>
            </w:r>
          </w:p>
        </w:tc>
        <w:tc>
          <w:tcPr>
            <w:tcMar>
              <w:top w:w="20" w:type="dxa"/>
              <w:left w:w="60" w:type="dxa"/>
              <w:bottom w:w="20" w:type="dxa"/>
              <w:right w:w="60" w:type="dxa"/>
            </w:tcMar>
          </w:tcPr>
          <w:p>
            <w:pPr>
              <w:spacing w:after="0"/>
            </w:pPr>
            <w:r>
              <w:rPr>
                <w:rFonts w:ascii="Arial" w:hAnsi="Arial" w:cs="Arial"/>
                <w:color w:val="000000"/>
                <w:sz w:val="17"/>
                <w:szCs w:val="17"/>
              </w:rPr>
              <w:t xml:space="preserve">¶¶ 97 to 98</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The Service's second email to that escalation</w:t>
            </w:r>
          </w:p>
        </w:tc>
        <w:tc>
          <w:tcPr>
            <w:tcMar>
              <w:top w:w="20" w:type="dxa"/>
              <w:left w:w="60" w:type="dxa"/>
              <w:bottom w:w="20" w:type="dxa"/>
              <w:right w:w="60" w:type="dxa"/>
            </w:tcMar>
          </w:tcPr>
          <w:p>
            <w:pPr>
              <w:spacing w:after="0"/>
            </w:pPr>
            <w:r>
              <w:rPr>
                <w:rFonts w:ascii="Arial" w:hAnsi="Arial" w:cs="Arial"/>
                <w:color w:val="000000"/>
                <w:sz w:val="17"/>
                <w:szCs w:val="17"/>
              </w:rPr>
              <w:t xml:space="preserve">3 hours, 2 minutes</w:t>
            </w:r>
          </w:p>
        </w:tc>
        <w:tc>
          <w:tcPr>
            <w:tcMar>
              <w:top w:w="20" w:type="dxa"/>
              <w:left w:w="60" w:type="dxa"/>
              <w:bottom w:w="20" w:type="dxa"/>
              <w:right w:w="60" w:type="dxa"/>
            </w:tcMar>
          </w:tcPr>
          <w:p>
            <w:r>
              <w:rPr>
                <w:rFonts w:ascii="Arial" w:hAnsi="Arial"/>
                <w:color w:val="000000"/>
                <w:sz w:val="18"/>
              </w:rPr>
              <w:t>1(k)</w:t>
            </w:r>
          </w:p>
        </w:tc>
        <w:tc>
          <w:tcPr>
            <w:tcMar>
              <w:top w:w="20" w:type="dxa"/>
              <w:left w:w="60" w:type="dxa"/>
              <w:bottom w:w="20" w:type="dxa"/>
              <w:right w:w="60" w:type="dxa"/>
            </w:tcMar>
          </w:tcPr>
          <w:p>
            <w:pPr>
              <w:spacing w:after="0"/>
            </w:pPr>
            <w:r>
              <w:rPr>
                <w:rFonts w:ascii="Arial" w:hAnsi="Arial" w:cs="Arial"/>
                <w:color w:val="000000"/>
                <w:sz w:val="17"/>
                <w:szCs w:val="17"/>
              </w:rPr>
              <w:t xml:space="preserve">¶ 97</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The escalation to the Manager's reply at 4:30 pm, two hours after the office hours she had stated to all Switchboard staff on 17 May 2024 had ended</w:t>
            </w:r>
          </w:p>
        </w:tc>
        <w:tc>
          <w:tcPr>
            <w:tcMar>
              <w:top w:w="20" w:type="dxa"/>
              <w:left w:w="60" w:type="dxa"/>
              <w:bottom w:w="20" w:type="dxa"/>
              <w:right w:w="60" w:type="dxa"/>
            </w:tcMar>
          </w:tcPr>
          <w:p>
            <w:pPr>
              <w:spacing w:after="0"/>
            </w:pPr>
            <w:r>
              <w:rPr>
                <w:rFonts w:ascii="Arial" w:hAnsi="Arial" w:cs="Arial"/>
                <w:color w:val="000000"/>
                <w:sz w:val="17"/>
                <w:szCs w:val="17"/>
              </w:rPr>
              <w:t xml:space="preserve">2 hours, 25 minutes</w:t>
            </w:r>
          </w:p>
        </w:tc>
        <w:tc>
          <w:tcPr>
            <w:tcMar>
              <w:top w:w="20" w:type="dxa"/>
              <w:left w:w="60" w:type="dxa"/>
              <w:bottom w:w="20" w:type="dxa"/>
              <w:right w:w="60" w:type="dxa"/>
            </w:tcMar>
          </w:tcPr>
          <w:p>
            <w:r>
              <w:rPr>
                <w:rFonts w:ascii="Arial" w:hAnsi="Arial"/>
                <w:color w:val="000000"/>
                <w:sz w:val="18"/>
              </w:rPr>
              <w:t>1(k)</w:t>
            </w:r>
          </w:p>
        </w:tc>
        <w:tc>
          <w:tcPr>
            <w:tcMar>
              <w:top w:w="20" w:type="dxa"/>
              <w:left w:w="60" w:type="dxa"/>
              <w:bottom w:w="20" w:type="dxa"/>
              <w:right w:w="60" w:type="dxa"/>
            </w:tcMar>
          </w:tcPr>
          <w:p>
            <w:pPr>
              <w:spacing w:after="0"/>
            </w:pPr>
            <w:r>
              <w:rPr>
                <w:rFonts w:ascii="Arial" w:hAnsi="Arial" w:cs="Arial"/>
                <w:color w:val="000000"/>
                <w:sz w:val="17"/>
                <w:szCs w:val="17"/>
              </w:rPr>
              <w:t xml:space="preserve">¶¶ 102 to 103</w:t>
            </w:r>
          </w:p>
        </w:tc>
      </w:tr>
      <w:tr>
        <w:trPr/>
        <w:tc>
          <w:tcPr>
            <w:tcMar>
              <w:top w:w="20" w:type="dxa"/>
              <w:left w:w="60" w:type="dxa"/>
              <w:bottom w:w="20" w:type="dxa"/>
              <w:right w:w="6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20" w:type="dxa"/>
              <w:left w:w="60" w:type="dxa"/>
              <w:bottom w:w="20" w:type="dxa"/>
              <w:right w:w="60" w:type="dxa"/>
            </w:tcMar>
          </w:tcPr>
          <w:p>
            <w:pPr>
              <w:spacing w:after="0"/>
            </w:pPr>
            <w:r>
              <w:rPr>
                <w:rFonts w:ascii="Arial" w:hAnsi="Arial" w:cs="Arial"/>
                <w:color w:val="000000"/>
                <w:sz w:val="17"/>
                <w:szCs w:val="17"/>
              </w:rPr>
              <w:t xml:space="preserve">23 days</w:t>
            </w:r>
          </w:p>
        </w:tc>
        <w:tc>
          <w:tcPr>
            <w:tcMar>
              <w:top w:w="20" w:type="dxa"/>
              <w:left w:w="60" w:type="dxa"/>
              <w:bottom w:w="20" w:type="dxa"/>
              <w:right w:w="60" w:type="dxa"/>
            </w:tcMar>
          </w:tcPr>
          <w:p>
            <w:r>
              <w:rPr>
                <w:rFonts w:ascii="Arial" w:hAnsi="Arial"/>
                <w:color w:val="000000"/>
                <w:sz w:val="18"/>
              </w:rPr>
              <w:t>3(d)</w:t>
            </w:r>
          </w:p>
        </w:tc>
        <w:tc>
          <w:tcPr>
            <w:tcMar>
              <w:top w:w="20" w:type="dxa"/>
              <w:left w:w="60" w:type="dxa"/>
              <w:bottom w:w="20" w:type="dxa"/>
              <w:right w:w="60" w:type="dxa"/>
            </w:tcMar>
          </w:tcPr>
          <w:p>
            <w:pPr>
              <w:spacing w:after="0"/>
            </w:pPr>
            <w:r>
              <w:rPr>
                <w:rFonts w:ascii="Arial" w:hAnsi="Arial" w:cs="Arial"/>
                <w:color w:val="000000"/>
                <w:sz w:val="17"/>
                <w:szCs w:val="17"/>
              </w:rPr>
              <w:t xml:space="preserve">¶¶ 249 to 250</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20" w:type="dxa"/>
              <w:left w:w="60" w:type="dxa"/>
              <w:bottom w:w="20" w:type="dxa"/>
              <w:right w:w="60" w:type="dxa"/>
            </w:tcMar>
          </w:tcPr>
          <w:p>
            <w:pPr>
              <w:spacing w:after="0"/>
            </w:pPr>
            <w:r>
              <w:rPr>
                <w:rFonts w:ascii="Arial" w:hAnsi="Arial" w:cs="Arial"/>
                <w:color w:val="000000"/>
                <w:sz w:val="17"/>
                <w:szCs w:val="17"/>
              </w:rPr>
              <w:t xml:space="preserve">13 minutes, 35 seconds</w:t>
            </w:r>
          </w:p>
        </w:tc>
        <w:tc>
          <w:tcPr>
            <w:tcMar>
              <w:top w:w="20" w:type="dxa"/>
              <w:left w:w="60" w:type="dxa"/>
              <w:bottom w:w="20" w:type="dxa"/>
              <w:right w:w="60" w:type="dxa"/>
            </w:tcMar>
          </w:tcPr>
          <w:p>
            <w:r>
              <w:rPr>
                <w:rFonts w:ascii="Arial" w:hAnsi="Arial"/>
                <w:color w:val="000000"/>
                <w:sz w:val="18"/>
              </w:rPr>
              <w:t>1(e), 2(b)</w:t>
            </w:r>
          </w:p>
        </w:tc>
        <w:tc>
          <w:tcPr>
            <w:tcMar>
              <w:top w:w="20" w:type="dxa"/>
              <w:left w:w="60" w:type="dxa"/>
              <w:bottom w:w="20" w:type="dxa"/>
              <w:right w:w="60" w:type="dxa"/>
            </w:tcMar>
          </w:tcPr>
          <w:p>
            <w:pPr>
              <w:spacing w:after="0"/>
            </w:pPr>
            <w:r>
              <w:rPr>
                <w:rFonts w:ascii="Arial" w:hAnsi="Arial" w:cs="Arial"/>
                <w:color w:val="000000"/>
                <w:sz w:val="17"/>
                <w:szCs w:val="17"/>
              </w:rPr>
              <w:t xml:space="preserve">¶ 124</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Creation of the draft, 20 February 2024, to final approval, 1 March 2024</w:t>
            </w:r>
          </w:p>
        </w:tc>
        <w:tc>
          <w:tcPr>
            <w:tcMar>
              <w:top w:w="20" w:type="dxa"/>
              <w:left w:w="60" w:type="dxa"/>
              <w:bottom w:w="20" w:type="dxa"/>
              <w:right w:w="60" w:type="dxa"/>
            </w:tcMar>
          </w:tcPr>
          <w:p>
            <w:pPr>
              <w:spacing w:after="0"/>
            </w:pPr>
            <w:r>
              <w:rPr>
                <w:rFonts w:ascii="Arial" w:hAnsi="Arial" w:cs="Arial"/>
                <w:color w:val="000000"/>
                <w:sz w:val="17"/>
                <w:szCs w:val="17"/>
              </w:rPr>
              <w:t xml:space="preserve">10 days, 4 hours, 40 minutes, 20 seconds</w:t>
            </w:r>
          </w:p>
        </w:tc>
        <w:tc>
          <w:tcPr>
            <w:tcMar>
              <w:top w:w="20" w:type="dxa"/>
              <w:left w:w="60" w:type="dxa"/>
              <w:bottom w:w="20" w:type="dxa"/>
              <w:right w:w="60" w:type="dxa"/>
            </w:tcMar>
          </w:tcPr>
          <w:p>
            <w:r>
              <w:rPr>
                <w:rFonts w:ascii="Arial" w:hAnsi="Arial"/>
                <w:color w:val="000000"/>
                <w:sz w:val="18"/>
              </w:rPr>
              <w:t>1(e), 2(b)</w:t>
            </w:r>
          </w:p>
        </w:tc>
        <w:tc>
          <w:tcPr>
            <w:tcMar>
              <w:top w:w="20" w:type="dxa"/>
              <w:left w:w="60" w:type="dxa"/>
              <w:bottom w:w="20" w:type="dxa"/>
              <w:right w:w="60" w:type="dxa"/>
            </w:tcMar>
          </w:tcPr>
          <w:p>
            <w:pPr>
              <w:spacing w:after="0"/>
            </w:pPr>
            <w:r>
              <w:rPr>
                <w:rFonts w:ascii="Arial" w:hAnsi="Arial" w:cs="Arial"/>
                <w:color w:val="000000"/>
                <w:sz w:val="17"/>
                <w:szCs w:val="17"/>
              </w:rPr>
              <w:t xml:space="preserve">¶ 125</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20" w:type="dxa"/>
              <w:left w:w="60" w:type="dxa"/>
              <w:bottom w:w="20" w:type="dxa"/>
              <w:right w:w="60" w:type="dxa"/>
            </w:tcMar>
          </w:tcPr>
          <w:p>
            <w:pPr>
              <w:spacing w:after="0"/>
            </w:pPr>
            <w:r>
              <w:rPr>
                <w:rFonts w:ascii="Arial" w:hAnsi="Arial" w:cs="Arial"/>
                <w:color w:val="000000"/>
                <w:sz w:val="17"/>
                <w:szCs w:val="17"/>
              </w:rPr>
              <w:t xml:space="preserve">11 months</w:t>
            </w:r>
          </w:p>
        </w:tc>
        <w:tc>
          <w:tcPr>
            <w:tcMar>
              <w:top w:w="20" w:type="dxa"/>
              <w:left w:w="60" w:type="dxa"/>
              <w:bottom w:w="20" w:type="dxa"/>
              <w:right w:w="60" w:type="dxa"/>
            </w:tcMar>
          </w:tcPr>
          <w:p>
            <w:r>
              <w:rPr>
                <w:rFonts w:ascii="Arial" w:hAnsi="Arial"/>
                <w:color w:val="000000"/>
                <w:sz w:val="18"/>
              </w:rPr>
              <w:t>1(b)</w:t>
            </w:r>
          </w:p>
        </w:tc>
        <w:tc>
          <w:tcPr>
            <w:tcMar>
              <w:top w:w="20" w:type="dxa"/>
              <w:left w:w="60" w:type="dxa"/>
              <w:bottom w:w="20" w:type="dxa"/>
              <w:right w:w="60" w:type="dxa"/>
            </w:tcMar>
          </w:tcPr>
          <w:p>
            <w:pPr>
              <w:spacing w:after="0"/>
            </w:pPr>
            <w:r>
              <w:rPr>
                <w:rFonts w:ascii="Arial" w:hAnsi="Arial" w:cs="Arial"/>
                <w:color w:val="000000"/>
                <w:sz w:val="17"/>
                <w:szCs w:val="17"/>
              </w:rPr>
              <w:t xml:space="preserve">¶ 55</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20" w:type="dxa"/>
              <w:left w:w="60" w:type="dxa"/>
              <w:bottom w:w="20" w:type="dxa"/>
              <w:right w:w="60" w:type="dxa"/>
            </w:tcMar>
          </w:tcPr>
          <w:p>
            <w:r>
              <w:rPr>
                <w:rFonts w:ascii="Arial" w:hAnsi="Arial"/>
                <w:color w:val="000000"/>
                <w:sz w:val="18"/>
              </w:rPr>
              <w:t>Approximately 9 months</w:t>
            </w:r>
          </w:p>
        </w:tc>
        <w:tc>
          <w:tcPr>
            <w:tcMar>
              <w:top w:w="20" w:type="dxa"/>
              <w:left w:w="60" w:type="dxa"/>
              <w:bottom w:w="20" w:type="dxa"/>
              <w:right w:w="60" w:type="dxa"/>
            </w:tcMar>
          </w:tcPr>
          <w:p>
            <w:r>
              <w:rPr>
                <w:rFonts w:ascii="Arial" w:hAnsi="Arial"/>
                <w:color w:val="000000"/>
                <w:sz w:val="18"/>
              </w:rPr>
              <w:t>1(d), 1(l)</w:t>
            </w:r>
          </w:p>
        </w:tc>
        <w:tc>
          <w:tcPr>
            <w:tcMar>
              <w:top w:w="20" w:type="dxa"/>
              <w:left w:w="60" w:type="dxa"/>
              <w:bottom w:w="20" w:type="dxa"/>
              <w:right w:w="60" w:type="dxa"/>
            </w:tcMar>
          </w:tcPr>
          <w:p>
            <w:pPr>
              <w:spacing w:after="0"/>
            </w:pPr>
            <w:r>
              <w:rPr>
                <w:rFonts w:ascii="Arial" w:hAnsi="Arial" w:cs="Arial"/>
                <w:color w:val="000000"/>
                <w:sz w:val="17"/>
                <w:szCs w:val="17"/>
              </w:rPr>
              <w:t xml:space="preserve">¶ 73</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20" w:type="dxa"/>
              <w:left w:w="60" w:type="dxa"/>
              <w:bottom w:w="20" w:type="dxa"/>
              <w:right w:w="60" w:type="dxa"/>
            </w:tcMar>
          </w:tcPr>
          <w:p>
            <w:pPr>
              <w:spacing w:after="0"/>
            </w:pPr>
            <w:r>
              <w:rPr>
                <w:rFonts w:ascii="Arial" w:hAnsi="Arial" w:cs="Arial"/>
                <w:color w:val="000000"/>
                <w:sz w:val="17"/>
                <w:szCs w:val="17"/>
              </w:rPr>
              <w:t xml:space="preserve">33 days</w:t>
            </w:r>
          </w:p>
        </w:tc>
        <w:tc>
          <w:tcPr>
            <w:tcMar>
              <w:top w:w="20" w:type="dxa"/>
              <w:left w:w="60" w:type="dxa"/>
              <w:bottom w:w="20" w:type="dxa"/>
              <w:right w:w="60" w:type="dxa"/>
            </w:tcMar>
          </w:tcPr>
          <w:p>
            <w:r>
              <w:rPr>
                <w:rFonts w:ascii="Arial" w:hAnsi="Arial"/>
                <w:color w:val="000000"/>
                <w:sz w:val="18"/>
              </w:rPr>
              <w:t>2(n)</w:t>
            </w:r>
          </w:p>
        </w:tc>
        <w:tc>
          <w:tcPr>
            <w:tcMar>
              <w:top w:w="20" w:type="dxa"/>
              <w:left w:w="60" w:type="dxa"/>
              <w:bottom w:w="20" w:type="dxa"/>
              <w:right w:w="60" w:type="dxa"/>
            </w:tcMar>
          </w:tcPr>
          <w:p>
            <w:pPr>
              <w:spacing w:after="0"/>
            </w:pPr>
            <w:r>
              <w:rPr>
                <w:rFonts w:ascii="Arial" w:hAnsi="Arial" w:cs="Arial"/>
                <w:color w:val="000000"/>
                <w:sz w:val="17"/>
                <w:szCs w:val="17"/>
              </w:rPr>
              <w:t xml:space="preserve">Payroll disclosure, July 2025</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20" w:type="dxa"/>
              <w:left w:w="60" w:type="dxa"/>
              <w:bottom w:w="20" w:type="dxa"/>
              <w:right w:w="60" w:type="dxa"/>
            </w:tcMar>
          </w:tcPr>
          <w:p>
            <w:pPr>
              <w:spacing w:after="0"/>
            </w:pPr>
            <w:r>
              <w:rPr>
                <w:rFonts w:ascii="Arial" w:hAnsi="Arial" w:cs="Arial"/>
                <w:color w:val="000000"/>
                <w:sz w:val="17"/>
                <w:szCs w:val="17"/>
              </w:rPr>
              <w:t xml:space="preserve">425 days</w:t>
            </w:r>
          </w:p>
        </w:tc>
        <w:tc>
          <w:tcPr>
            <w:tcMar>
              <w:top w:w="20" w:type="dxa"/>
              <w:left w:w="60" w:type="dxa"/>
              <w:bottom w:w="20" w:type="dxa"/>
              <w:right w:w="60" w:type="dxa"/>
            </w:tcMar>
          </w:tcPr>
          <w:p>
            <w:r>
              <w:rPr>
                <w:rFonts w:ascii="Arial" w:hAnsi="Arial"/>
                <w:color w:val="000000"/>
                <w:sz w:val="18"/>
              </w:rPr>
              <w:t>2(o)</w:t>
            </w:r>
          </w:p>
        </w:tc>
        <w:tc>
          <w:tcPr>
            <w:tcMar>
              <w:top w:w="20" w:type="dxa"/>
              <w:left w:w="60" w:type="dxa"/>
              <w:bottom w:w="20" w:type="dxa"/>
              <w:right w:w="60" w:type="dxa"/>
            </w:tcMar>
          </w:tcPr>
          <w:p>
            <w:pPr>
              <w:spacing w:after="0"/>
            </w:pPr>
            <w:r>
              <w:rPr>
                <w:rFonts w:ascii="Arial" w:hAnsi="Arial" w:cs="Arial"/>
                <w:color w:val="000000"/>
                <w:sz w:val="17"/>
                <w:szCs w:val="17"/>
              </w:rPr>
              <w:t xml:space="preserve">Payroll disclosure, July 2025</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The Appellant's last shift, 3 June 2024, to the first of those pay dates</w:t>
            </w:r>
          </w:p>
        </w:tc>
        <w:tc>
          <w:tcPr>
            <w:tcMar>
              <w:top w:w="20" w:type="dxa"/>
              <w:left w:w="60" w:type="dxa"/>
              <w:bottom w:w="20" w:type="dxa"/>
              <w:right w:w="60" w:type="dxa"/>
            </w:tcMar>
          </w:tcPr>
          <w:p>
            <w:pPr>
              <w:spacing w:after="0"/>
            </w:pPr>
            <w:r>
              <w:rPr>
                <w:rFonts w:ascii="Arial" w:hAnsi="Arial" w:cs="Arial"/>
                <w:color w:val="000000"/>
                <w:sz w:val="17"/>
                <w:szCs w:val="17"/>
              </w:rPr>
              <w:t xml:space="preserve">2 days</w:t>
            </w:r>
          </w:p>
        </w:tc>
        <w:tc>
          <w:tcPr>
            <w:tcMar>
              <w:top w:w="20" w:type="dxa"/>
              <w:left w:w="60" w:type="dxa"/>
              <w:bottom w:w="20" w:type="dxa"/>
              <w:right w:w="60" w:type="dxa"/>
            </w:tcMar>
          </w:tcPr>
          <w:p>
            <w:r>
              <w:rPr>
                <w:rFonts w:ascii="Arial" w:hAnsi="Arial"/>
                <w:color w:val="000000"/>
                <w:sz w:val="18"/>
              </w:rPr>
              <w:t>2(n); Part B.1.4</w:t>
            </w:r>
          </w:p>
        </w:tc>
        <w:tc>
          <w:tcPr>
            <w:tcMar>
              <w:top w:w="20" w:type="dxa"/>
              <w:left w:w="60" w:type="dxa"/>
              <w:bottom w:w="20" w:type="dxa"/>
              <w:right w:w="60" w:type="dxa"/>
            </w:tcMar>
          </w:tcPr>
          <w:p>
            <w:pPr>
              <w:spacing w:after="0"/>
            </w:pPr>
            <w:r>
              <w:rPr>
                <w:rFonts w:ascii="Arial" w:hAnsi="Arial" w:cs="Arial"/>
                <w:color w:val="000000"/>
                <w:sz w:val="17"/>
                <w:szCs w:val="17"/>
              </w:rPr>
              <w:t xml:space="preserve">-</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The pay enquiry of 8 April 2024 to the reply of 9 April</w:t>
            </w:r>
          </w:p>
        </w:tc>
        <w:tc>
          <w:tcPr>
            <w:tcMar>
              <w:top w:w="20" w:type="dxa"/>
              <w:left w:w="60" w:type="dxa"/>
              <w:bottom w:w="20" w:type="dxa"/>
              <w:right w:w="60" w:type="dxa"/>
            </w:tcMar>
          </w:tcPr>
          <w:p>
            <w:pPr>
              <w:spacing w:after="0"/>
            </w:pPr>
            <w:r>
              <w:rPr>
                <w:rFonts w:ascii="Arial" w:hAnsi="Arial" w:cs="Arial"/>
                <w:color w:val="000000"/>
                <w:sz w:val="17"/>
                <w:szCs w:val="17"/>
              </w:rPr>
              <w:t xml:space="preserve">1 day</w:t>
            </w:r>
          </w:p>
        </w:tc>
        <w:tc>
          <w:tcPr>
            <w:tcMar>
              <w:top w:w="20" w:type="dxa"/>
              <w:left w:w="60" w:type="dxa"/>
              <w:bottom w:w="20" w:type="dxa"/>
              <w:right w:w="60" w:type="dxa"/>
            </w:tcMar>
          </w:tcPr>
          <w:p>
            <w:r>
              <w:rPr>
                <w:rFonts w:ascii="Arial" w:hAnsi="Arial"/>
                <w:color w:val="000000"/>
                <w:sz w:val="18"/>
              </w:rPr>
              <w:t>2(g), 3(d)</w:t>
            </w:r>
          </w:p>
        </w:tc>
        <w:tc>
          <w:tcPr>
            <w:tcMar>
              <w:top w:w="20" w:type="dxa"/>
              <w:left w:w="60" w:type="dxa"/>
              <w:bottom w:w="20" w:type="dxa"/>
              <w:right w:w="60" w:type="dxa"/>
            </w:tcMar>
          </w:tcPr>
          <w:p>
            <w:pPr>
              <w:spacing w:after="0"/>
            </w:pPr>
            <w:r>
              <w:rPr>
                <w:rFonts w:ascii="Arial" w:hAnsi="Arial" w:cs="Arial"/>
                <w:color w:val="000000"/>
                <w:sz w:val="17"/>
                <w:szCs w:val="17"/>
              </w:rPr>
              <w:t xml:space="preserve">¶¶ 242, 244</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That reply to the Appellant's follow-up of 24 April 2024</w:t>
            </w:r>
          </w:p>
        </w:tc>
        <w:tc>
          <w:tcPr>
            <w:tcMar>
              <w:top w:w="20" w:type="dxa"/>
              <w:left w:w="60" w:type="dxa"/>
              <w:bottom w:w="20" w:type="dxa"/>
              <w:right w:w="60" w:type="dxa"/>
            </w:tcMar>
          </w:tcPr>
          <w:p>
            <w:pPr>
              <w:spacing w:after="0"/>
            </w:pPr>
            <w:r>
              <w:rPr>
                <w:rFonts w:ascii="Arial" w:hAnsi="Arial" w:cs="Arial"/>
                <w:color w:val="000000"/>
                <w:sz w:val="17"/>
                <w:szCs w:val="17"/>
              </w:rPr>
              <w:t xml:space="preserve">15 days</w:t>
            </w:r>
          </w:p>
        </w:tc>
        <w:tc>
          <w:tcPr>
            <w:tcMar>
              <w:top w:w="20" w:type="dxa"/>
              <w:left w:w="60" w:type="dxa"/>
              <w:bottom w:w="20" w:type="dxa"/>
              <w:right w:w="60" w:type="dxa"/>
            </w:tcMar>
          </w:tcPr>
          <w:p>
            <w:r>
              <w:rPr>
                <w:rFonts w:ascii="Arial" w:hAnsi="Arial"/>
                <w:color w:val="000000"/>
                <w:sz w:val="18"/>
              </w:rPr>
              <w:t>2(g), 3(d)</w:t>
            </w:r>
          </w:p>
        </w:tc>
        <w:tc>
          <w:tcPr>
            <w:tcMar>
              <w:top w:w="20" w:type="dxa"/>
              <w:left w:w="60" w:type="dxa"/>
              <w:bottom w:w="20" w:type="dxa"/>
              <w:right w:w="60" w:type="dxa"/>
            </w:tcMar>
          </w:tcPr>
          <w:p>
            <w:pPr>
              <w:spacing w:after="0"/>
            </w:pPr>
            <w:r>
              <w:rPr>
                <w:rFonts w:ascii="Arial" w:hAnsi="Arial" w:cs="Arial"/>
                <w:color w:val="000000"/>
                <w:sz w:val="17"/>
                <w:szCs w:val="17"/>
              </w:rPr>
              <w:t xml:space="preserve">¶¶ 244, 246</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That follow-up to the refusal of 1 May 2024</w:t>
            </w:r>
          </w:p>
        </w:tc>
        <w:tc>
          <w:tcPr>
            <w:tcMar>
              <w:top w:w="20" w:type="dxa"/>
              <w:left w:w="60" w:type="dxa"/>
              <w:bottom w:w="20" w:type="dxa"/>
              <w:right w:w="60" w:type="dxa"/>
            </w:tcMar>
          </w:tcPr>
          <w:p>
            <w:pPr>
              <w:spacing w:after="0"/>
            </w:pPr>
            <w:r>
              <w:rPr>
                <w:rFonts w:ascii="Arial" w:hAnsi="Arial" w:cs="Arial"/>
                <w:color w:val="000000"/>
                <w:sz w:val="17"/>
                <w:szCs w:val="17"/>
              </w:rPr>
              <w:t xml:space="preserve">7 days</w:t>
            </w:r>
          </w:p>
        </w:tc>
        <w:tc>
          <w:tcPr>
            <w:tcMar>
              <w:top w:w="20" w:type="dxa"/>
              <w:left w:w="60" w:type="dxa"/>
              <w:bottom w:w="20" w:type="dxa"/>
              <w:right w:w="60" w:type="dxa"/>
            </w:tcMar>
          </w:tcPr>
          <w:p>
            <w:r>
              <w:rPr>
                <w:rFonts w:ascii="Arial" w:hAnsi="Arial"/>
                <w:color w:val="000000"/>
                <w:sz w:val="18"/>
              </w:rPr>
              <w:t>2(g), 3(d)</w:t>
            </w:r>
          </w:p>
        </w:tc>
        <w:tc>
          <w:tcPr>
            <w:tcMar>
              <w:top w:w="20" w:type="dxa"/>
              <w:left w:w="60" w:type="dxa"/>
              <w:bottom w:w="20" w:type="dxa"/>
              <w:right w:w="60" w:type="dxa"/>
            </w:tcMar>
          </w:tcPr>
          <w:p>
            <w:pPr>
              <w:spacing w:after="0"/>
            </w:pPr>
            <w:r>
              <w:rPr>
                <w:rFonts w:ascii="Arial" w:hAnsi="Arial" w:cs="Arial"/>
                <w:color w:val="000000"/>
                <w:sz w:val="17"/>
                <w:szCs w:val="17"/>
              </w:rPr>
              <w:t xml:space="preserve">¶¶ 246, 247</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The refusal of 1 May 2024 to Payroll's direction of 3 May 2024</w:t>
            </w:r>
          </w:p>
        </w:tc>
        <w:tc>
          <w:tcPr>
            <w:tcMar>
              <w:top w:w="20" w:type="dxa"/>
              <w:left w:w="60" w:type="dxa"/>
              <w:bottom w:w="20" w:type="dxa"/>
              <w:right w:w="60" w:type="dxa"/>
            </w:tcMar>
          </w:tcPr>
          <w:p>
            <w:pPr>
              <w:spacing w:after="0"/>
            </w:pPr>
            <w:r>
              <w:rPr>
                <w:rFonts w:ascii="Arial" w:hAnsi="Arial" w:cs="Arial"/>
                <w:color w:val="000000"/>
                <w:sz w:val="17"/>
                <w:szCs w:val="17"/>
              </w:rPr>
              <w:t xml:space="preserve">2 days</w:t>
            </w:r>
          </w:p>
        </w:tc>
        <w:tc>
          <w:tcPr>
            <w:tcMar>
              <w:top w:w="20" w:type="dxa"/>
              <w:left w:w="60" w:type="dxa"/>
              <w:bottom w:w="20" w:type="dxa"/>
              <w:right w:w="60" w:type="dxa"/>
            </w:tcMar>
          </w:tcPr>
          <w:p>
            <w:r>
              <w:rPr>
                <w:rFonts w:ascii="Arial" w:hAnsi="Arial"/>
                <w:color w:val="000000"/>
                <w:sz w:val="18"/>
              </w:rPr>
              <w:t>2(g), 2(h)</w:t>
            </w:r>
          </w:p>
        </w:tc>
        <w:tc>
          <w:tcPr>
            <w:tcMar>
              <w:top w:w="20" w:type="dxa"/>
              <w:left w:w="60" w:type="dxa"/>
              <w:bottom w:w="20" w:type="dxa"/>
              <w:right w:w="60" w:type="dxa"/>
            </w:tcMar>
          </w:tcPr>
          <w:p>
            <w:pPr>
              <w:spacing w:after="0"/>
            </w:pPr>
            <w:r>
              <w:rPr>
                <w:rFonts w:ascii="Arial" w:hAnsi="Arial" w:cs="Arial"/>
                <w:color w:val="000000"/>
                <w:sz w:val="17"/>
                <w:szCs w:val="17"/>
              </w:rPr>
              <w:t xml:space="preserve">¶¶ 247, 185</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Payroll's direction to the Appellant's email to Payroll, 10 May 2024</w:t>
            </w:r>
          </w:p>
        </w:tc>
        <w:tc>
          <w:tcPr>
            <w:tcMar>
              <w:top w:w="20" w:type="dxa"/>
              <w:left w:w="60" w:type="dxa"/>
              <w:bottom w:w="20" w:type="dxa"/>
              <w:right w:w="60" w:type="dxa"/>
            </w:tcMar>
          </w:tcPr>
          <w:p>
            <w:pPr>
              <w:spacing w:after="0"/>
            </w:pPr>
            <w:r>
              <w:rPr>
                <w:rFonts w:ascii="Arial" w:hAnsi="Arial" w:cs="Arial"/>
                <w:color w:val="000000"/>
                <w:sz w:val="17"/>
                <w:szCs w:val="17"/>
              </w:rPr>
              <w:t xml:space="preserve">7 days</w:t>
            </w:r>
          </w:p>
        </w:tc>
        <w:tc>
          <w:tcPr>
            <w:tcMar>
              <w:top w:w="20" w:type="dxa"/>
              <w:left w:w="60" w:type="dxa"/>
              <w:bottom w:w="20" w:type="dxa"/>
              <w:right w:w="60" w:type="dxa"/>
            </w:tcMar>
          </w:tcPr>
          <w:p>
            <w:r>
              <w:rPr>
                <w:rFonts w:ascii="Arial" w:hAnsi="Arial"/>
                <w:color w:val="000000"/>
                <w:sz w:val="18"/>
              </w:rPr>
              <w:t>2(h), 2(i)</w:t>
            </w:r>
          </w:p>
        </w:tc>
        <w:tc>
          <w:tcPr>
            <w:tcMar>
              <w:top w:w="20" w:type="dxa"/>
              <w:left w:w="60" w:type="dxa"/>
              <w:bottom w:w="20" w:type="dxa"/>
              <w:right w:w="60" w:type="dxa"/>
            </w:tcMar>
          </w:tcPr>
          <w:p>
            <w:pPr>
              <w:spacing w:after="0"/>
            </w:pPr>
            <w:r>
              <w:rPr>
                <w:rFonts w:ascii="Arial" w:hAnsi="Arial" w:cs="Arial"/>
                <w:color w:val="000000"/>
                <w:sz w:val="17"/>
                <w:szCs w:val="17"/>
              </w:rPr>
              <w:t xml:space="preserve">¶¶ 185, 191</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20" w:type="dxa"/>
              <w:left w:w="60" w:type="dxa"/>
              <w:bottom w:w="20" w:type="dxa"/>
              <w:right w:w="60" w:type="dxa"/>
            </w:tcMar>
          </w:tcPr>
          <w:p>
            <w:pPr>
              <w:spacing w:after="0"/>
            </w:pPr>
            <w:r>
              <w:rPr>
                <w:rFonts w:ascii="Arial" w:hAnsi="Arial" w:cs="Arial"/>
                <w:color w:val="000000"/>
                <w:sz w:val="17"/>
                <w:szCs w:val="17"/>
              </w:rPr>
              <w:t xml:space="preserve">10 days</w:t>
            </w:r>
          </w:p>
        </w:tc>
        <w:tc>
          <w:tcPr>
            <w:tcMar>
              <w:top w:w="20" w:type="dxa"/>
              <w:left w:w="60" w:type="dxa"/>
              <w:bottom w:w="20" w:type="dxa"/>
              <w:right w:w="60" w:type="dxa"/>
            </w:tcMar>
          </w:tcPr>
          <w:p>
            <w:r>
              <w:rPr>
                <w:rFonts w:ascii="Arial" w:hAnsi="Arial"/>
                <w:color w:val="000000"/>
                <w:sz w:val="18"/>
              </w:rPr>
              <w:t>2(h), 2(i)</w:t>
            </w:r>
          </w:p>
        </w:tc>
        <w:tc>
          <w:tcPr>
            <w:tcMar>
              <w:top w:w="20" w:type="dxa"/>
              <w:left w:w="60" w:type="dxa"/>
              <w:bottom w:w="20" w:type="dxa"/>
              <w:right w:w="60" w:type="dxa"/>
            </w:tcMar>
          </w:tcPr>
          <w:p>
            <w:pPr>
              <w:spacing w:after="0"/>
            </w:pPr>
            <w:r>
              <w:rPr>
                <w:rFonts w:ascii="Arial" w:hAnsi="Arial" w:cs="Arial"/>
                <w:color w:val="000000"/>
                <w:sz w:val="17"/>
                <w:szCs w:val="17"/>
              </w:rPr>
              <w:t xml:space="preserve">¶¶ 185, 193</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Payroll's direction to the Manager's email of 21 May 2024 that she was still waiting for payroll confirmation</w:t>
            </w:r>
          </w:p>
        </w:tc>
        <w:tc>
          <w:tcPr>
            <w:tcMar>
              <w:top w:w="20" w:type="dxa"/>
              <w:left w:w="60" w:type="dxa"/>
              <w:bottom w:w="20" w:type="dxa"/>
              <w:right w:w="60" w:type="dxa"/>
            </w:tcMar>
          </w:tcPr>
          <w:p>
            <w:pPr>
              <w:spacing w:after="0"/>
            </w:pPr>
            <w:r>
              <w:rPr>
                <w:rFonts w:ascii="Arial" w:hAnsi="Arial" w:cs="Arial"/>
                <w:color w:val="000000"/>
                <w:sz w:val="17"/>
                <w:szCs w:val="17"/>
              </w:rPr>
              <w:t xml:space="preserve">18 days</w:t>
            </w:r>
          </w:p>
        </w:tc>
        <w:tc>
          <w:tcPr>
            <w:tcMar>
              <w:top w:w="20" w:type="dxa"/>
              <w:left w:w="60" w:type="dxa"/>
              <w:bottom w:w="20" w:type="dxa"/>
              <w:right w:w="60" w:type="dxa"/>
            </w:tcMar>
          </w:tcPr>
          <w:p>
            <w:r>
              <w:rPr>
                <w:rFonts w:ascii="Arial" w:hAnsi="Arial"/>
                <w:color w:val="000000"/>
                <w:sz w:val="18"/>
              </w:rPr>
              <w:t>2(h), 2(l)</w:t>
            </w:r>
          </w:p>
        </w:tc>
        <w:tc>
          <w:tcPr>
            <w:tcMar>
              <w:top w:w="20" w:type="dxa"/>
              <w:left w:w="60" w:type="dxa"/>
              <w:bottom w:w="20" w:type="dxa"/>
              <w:right w:w="60" w:type="dxa"/>
            </w:tcMar>
          </w:tcPr>
          <w:p>
            <w:pPr>
              <w:spacing w:after="0"/>
            </w:pPr>
            <w:r>
              <w:rPr>
                <w:rFonts w:ascii="Arial" w:hAnsi="Arial" w:cs="Arial"/>
                <w:color w:val="000000"/>
                <w:sz w:val="17"/>
                <w:szCs w:val="17"/>
              </w:rPr>
              <w:t xml:space="preserve">¶¶ 185, 195</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Payroll's direction to the Manager's AVAC of 28 May 2024</w:t>
            </w:r>
          </w:p>
        </w:tc>
        <w:tc>
          <w:tcPr>
            <w:tcMar>
              <w:top w:w="20" w:type="dxa"/>
              <w:left w:w="60" w:type="dxa"/>
              <w:bottom w:w="20" w:type="dxa"/>
              <w:right w:w="60" w:type="dxa"/>
            </w:tcMar>
          </w:tcPr>
          <w:p>
            <w:pPr>
              <w:spacing w:after="0"/>
            </w:pPr>
            <w:r>
              <w:rPr>
                <w:rFonts w:ascii="Arial" w:hAnsi="Arial" w:cs="Arial"/>
                <w:color w:val="000000"/>
                <w:sz w:val="17"/>
                <w:szCs w:val="17"/>
              </w:rPr>
              <w:t xml:space="preserve">25 days</w:t>
            </w:r>
          </w:p>
        </w:tc>
        <w:tc>
          <w:tcPr>
            <w:tcMar>
              <w:top w:w="20" w:type="dxa"/>
              <w:left w:w="60" w:type="dxa"/>
              <w:bottom w:w="20" w:type="dxa"/>
              <w:right w:w="60" w:type="dxa"/>
            </w:tcMar>
          </w:tcPr>
          <w:p>
            <w:r>
              <w:rPr>
                <w:rFonts w:ascii="Arial" w:hAnsi="Arial"/>
                <w:color w:val="000000"/>
                <w:sz w:val="18"/>
              </w:rPr>
              <w:t>2(h), 2(m)</w:t>
            </w:r>
          </w:p>
        </w:tc>
        <w:tc>
          <w:tcPr>
            <w:tcMar>
              <w:top w:w="20" w:type="dxa"/>
              <w:left w:w="60" w:type="dxa"/>
              <w:bottom w:w="20" w:type="dxa"/>
              <w:right w:w="60" w:type="dxa"/>
            </w:tcMar>
          </w:tcPr>
          <w:p>
            <w:pPr>
              <w:spacing w:after="0"/>
            </w:pPr>
            <w:r>
              <w:rPr>
                <w:rFonts w:ascii="Arial" w:hAnsi="Arial" w:cs="Arial"/>
                <w:color w:val="000000"/>
                <w:sz w:val="17"/>
                <w:szCs w:val="17"/>
              </w:rPr>
              <w:t xml:space="preserve">¶¶ 185, 197, 209</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That AVAC to its processing as "Part Completed", 30 May 2024</w:t>
            </w:r>
          </w:p>
        </w:tc>
        <w:tc>
          <w:tcPr>
            <w:tcMar>
              <w:top w:w="20" w:type="dxa"/>
              <w:left w:w="60" w:type="dxa"/>
              <w:bottom w:w="20" w:type="dxa"/>
              <w:right w:w="60" w:type="dxa"/>
            </w:tcMar>
          </w:tcPr>
          <w:p>
            <w:pPr>
              <w:spacing w:after="0"/>
            </w:pPr>
            <w:r>
              <w:rPr>
                <w:rFonts w:ascii="Arial" w:hAnsi="Arial" w:cs="Arial"/>
                <w:color w:val="000000"/>
                <w:sz w:val="17"/>
                <w:szCs w:val="17"/>
              </w:rPr>
              <w:t xml:space="preserve">2 days</w:t>
            </w:r>
          </w:p>
        </w:tc>
        <w:tc>
          <w:tcPr>
            <w:tcMar>
              <w:top w:w="20" w:type="dxa"/>
              <w:left w:w="60" w:type="dxa"/>
              <w:bottom w:w="20" w:type="dxa"/>
              <w:right w:w="60" w:type="dxa"/>
            </w:tcMar>
          </w:tcPr>
          <w:p>
            <w:r>
              <w:rPr>
                <w:rFonts w:ascii="Arial" w:hAnsi="Arial"/>
                <w:color w:val="000000"/>
                <w:sz w:val="18"/>
              </w:rPr>
              <w:t>2(m)</w:t>
            </w:r>
          </w:p>
        </w:tc>
        <w:tc>
          <w:tcPr>
            <w:tcMar>
              <w:top w:w="20" w:type="dxa"/>
              <w:left w:w="60" w:type="dxa"/>
              <w:bottom w:w="20" w:type="dxa"/>
              <w:right w:w="60" w:type="dxa"/>
            </w:tcMar>
          </w:tcPr>
          <w:p>
            <w:pPr>
              <w:spacing w:after="0"/>
            </w:pPr>
            <w:r>
              <w:rPr>
                <w:rFonts w:ascii="Arial" w:hAnsi="Arial" w:cs="Arial"/>
                <w:color w:val="000000"/>
                <w:sz w:val="17"/>
                <w:szCs w:val="17"/>
              </w:rPr>
              <w:t xml:space="preserve">¶ 203</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20" w:type="dxa"/>
              <w:left w:w="60" w:type="dxa"/>
              <w:bottom w:w="20" w:type="dxa"/>
              <w:right w:w="60" w:type="dxa"/>
            </w:tcMar>
          </w:tcPr>
          <w:p>
            <w:pPr>
              <w:spacing w:after="0"/>
            </w:pPr>
            <w:r>
              <w:rPr>
                <w:rFonts w:ascii="Arial" w:hAnsi="Arial" w:cs="Arial"/>
                <w:color w:val="000000"/>
                <w:sz w:val="17"/>
                <w:szCs w:val="17"/>
              </w:rPr>
              <w:t xml:space="preserve">98 days; 67 days; 65 days</w:t>
            </w:r>
          </w:p>
        </w:tc>
        <w:tc>
          <w:tcPr>
            <w:tcMar>
              <w:top w:w="20" w:type="dxa"/>
              <w:left w:w="60" w:type="dxa"/>
              <w:bottom w:w="20" w:type="dxa"/>
              <w:right w:w="60" w:type="dxa"/>
            </w:tcMar>
          </w:tcPr>
          <w:p>
            <w:r>
              <w:rPr>
                <w:rFonts w:ascii="Arial" w:hAnsi="Arial"/>
                <w:color w:val="000000"/>
                <w:sz w:val="18"/>
              </w:rPr>
              <w:t>2(c), 2(e), 2(f), 2(n)</w:t>
            </w:r>
          </w:p>
        </w:tc>
        <w:tc>
          <w:tcPr>
            <w:tcMar>
              <w:top w:w="20" w:type="dxa"/>
              <w:left w:w="60" w:type="dxa"/>
              <w:bottom w:w="20" w:type="dxa"/>
              <w:right w:w="60" w:type="dxa"/>
            </w:tcMar>
          </w:tcPr>
          <w:p>
            <w:pPr>
              <w:spacing w:after="0"/>
            </w:pPr>
            <w:r>
              <w:rPr>
                <w:rFonts w:ascii="Arial" w:hAnsi="Arial" w:cs="Arial"/>
                <w:color w:val="000000"/>
                <w:sz w:val="17"/>
                <w:szCs w:val="17"/>
              </w:rPr>
              <w:t xml:space="preserve">¶¶ 187 to 189; Payroll disclosure, July 2025</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20" w:type="dxa"/>
              <w:left w:w="60" w:type="dxa"/>
              <w:bottom w:w="20" w:type="dxa"/>
              <w:right w:w="60" w:type="dxa"/>
            </w:tcMar>
          </w:tcPr>
          <w:p>
            <w:pPr>
              <w:spacing w:after="0"/>
            </w:pPr>
            <w:r>
              <w:rPr>
                <w:rFonts w:ascii="Arial" w:hAnsi="Arial" w:cs="Arial"/>
                <w:color w:val="000000"/>
                <w:sz w:val="17"/>
                <w:szCs w:val="17"/>
              </w:rPr>
              <w:t xml:space="preserve">509 days</w:t>
            </w:r>
          </w:p>
        </w:tc>
        <w:tc>
          <w:tcPr>
            <w:tcMar>
              <w:top w:w="20" w:type="dxa"/>
              <w:left w:w="60" w:type="dxa"/>
              <w:bottom w:w="20" w:type="dxa"/>
              <w:right w:w="60" w:type="dxa"/>
            </w:tcMar>
          </w:tcPr>
          <w:p>
            <w:r>
              <w:rPr>
                <w:rFonts w:ascii="Arial" w:hAnsi="Arial"/>
                <w:color w:val="000000"/>
                <w:sz w:val="18"/>
              </w:rPr>
              <w:t>2(a), 2(o)</w:t>
            </w:r>
          </w:p>
        </w:tc>
        <w:tc>
          <w:tcPr>
            <w:tcMar>
              <w:top w:w="20" w:type="dxa"/>
              <w:left w:w="60" w:type="dxa"/>
              <w:bottom w:w="20" w:type="dxa"/>
              <w:right w:w="60" w:type="dxa"/>
            </w:tcMar>
          </w:tcPr>
          <w:p>
            <w:pPr>
              <w:spacing w:after="0"/>
            </w:pPr>
            <w:r>
              <w:rPr>
                <w:rFonts w:ascii="Arial" w:hAnsi="Arial" w:cs="Arial"/>
                <w:color w:val="000000"/>
                <w:sz w:val="17"/>
                <w:szCs w:val="17"/>
              </w:rPr>
              <w:t xml:space="preserve">¶¶ 185 to 186; Payroll disclosure, July 2025</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20" w:type="dxa"/>
              <w:left w:w="60" w:type="dxa"/>
              <w:bottom w:w="20" w:type="dxa"/>
              <w:right w:w="60" w:type="dxa"/>
            </w:tcMar>
          </w:tcPr>
          <w:p>
            <w:pPr>
              <w:spacing w:after="0"/>
            </w:pPr>
            <w:r>
              <w:rPr>
                <w:rFonts w:ascii="Arial" w:hAnsi="Arial" w:cs="Arial"/>
                <w:color w:val="000000"/>
                <w:sz w:val="17"/>
                <w:szCs w:val="17"/>
              </w:rPr>
              <w:t xml:space="preserve">5 hours, 8 minutes</w:t>
            </w:r>
          </w:p>
        </w:tc>
        <w:tc>
          <w:tcPr>
            <w:tcMar>
              <w:top w:w="20" w:type="dxa"/>
              <w:left w:w="60" w:type="dxa"/>
              <w:bottom w:w="20" w:type="dxa"/>
              <w:right w:w="60" w:type="dxa"/>
            </w:tcMar>
          </w:tcPr>
          <w:p>
            <w:r>
              <w:rPr>
                <w:rFonts w:ascii="Arial" w:hAnsi="Arial"/>
                <w:color w:val="000000"/>
                <w:sz w:val="18"/>
              </w:rPr>
              <w:t>1(l)</w:t>
            </w:r>
          </w:p>
        </w:tc>
        <w:tc>
          <w:tcPr>
            <w:tcMar>
              <w:top w:w="20" w:type="dxa"/>
              <w:left w:w="60" w:type="dxa"/>
              <w:bottom w:w="20" w:type="dxa"/>
              <w:right w:w="60" w:type="dxa"/>
            </w:tcMar>
          </w:tcPr>
          <w:p>
            <w:pPr>
              <w:spacing w:after="0"/>
            </w:pPr>
            <w:r>
              <w:rPr>
                <w:rFonts w:ascii="Arial" w:hAnsi="Arial" w:cs="Arial"/>
                <w:color w:val="000000"/>
                <w:sz w:val="17"/>
                <w:szCs w:val="17"/>
              </w:rPr>
              <w:t xml:space="preserve">¶¶ 74, 76</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20" w:type="dxa"/>
              <w:left w:w="60" w:type="dxa"/>
              <w:bottom w:w="20" w:type="dxa"/>
              <w:right w:w="60" w:type="dxa"/>
            </w:tcMar>
          </w:tcPr>
          <w:p>
            <w:pPr>
              <w:spacing w:after="0"/>
            </w:pPr>
            <w:r>
              <w:rPr>
                <w:rFonts w:ascii="Arial" w:hAnsi="Arial" w:cs="Arial"/>
                <w:color w:val="000000"/>
                <w:sz w:val="17"/>
                <w:szCs w:val="17"/>
              </w:rPr>
              <w:t xml:space="preserve">1 day, 20 hours, 15 minutes</w:t>
            </w:r>
          </w:p>
        </w:tc>
        <w:tc>
          <w:tcPr>
            <w:tcMar>
              <w:top w:w="20" w:type="dxa"/>
              <w:left w:w="60" w:type="dxa"/>
              <w:bottom w:w="20" w:type="dxa"/>
              <w:right w:w="60" w:type="dxa"/>
            </w:tcMar>
          </w:tcPr>
          <w:p>
            <w:r>
              <w:rPr>
                <w:rFonts w:ascii="Arial" w:hAnsi="Arial"/>
                <w:color w:val="000000"/>
                <w:sz w:val="18"/>
              </w:rPr>
              <w:t>1(l)</w:t>
            </w:r>
          </w:p>
        </w:tc>
        <w:tc>
          <w:tcPr>
            <w:tcMar>
              <w:top w:w="20" w:type="dxa"/>
              <w:left w:w="60" w:type="dxa"/>
              <w:bottom w:w="20" w:type="dxa"/>
              <w:right w:w="60" w:type="dxa"/>
            </w:tcMar>
          </w:tcPr>
          <w:p>
            <w:pPr>
              <w:spacing w:after="0"/>
            </w:pPr>
            <w:r>
              <w:rPr>
                <w:rFonts w:ascii="Arial" w:hAnsi="Arial" w:cs="Arial"/>
                <w:color w:val="000000"/>
                <w:sz w:val="17"/>
                <w:szCs w:val="17"/>
              </w:rPr>
              <w:t xml:space="preserve">¶¶ 74, 81</w:t>
            </w:r>
          </w:p>
        </w:tc>
      </w:tr>
      <w:tr>
        <w:trPr/>
        <w:tc>
          <w:tcPr>
            <w:tcMar>
              <w:top w:w="20" w:type="dxa"/>
              <w:left w:w="60" w:type="dxa"/>
              <w:bottom w:w="20" w:type="dxa"/>
              <w:right w:w="6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20" w:type="dxa"/>
              <w:left w:w="60" w:type="dxa"/>
              <w:bottom w:w="20" w:type="dxa"/>
              <w:right w:w="60" w:type="dxa"/>
            </w:tcMar>
          </w:tcPr>
          <w:p>
            <w:pPr>
              <w:spacing w:after="0"/>
            </w:pPr>
            <w:r>
              <w:rPr>
                <w:rFonts w:ascii="Arial" w:hAnsi="Arial" w:cs="Arial"/>
                <w:color w:val="000000"/>
                <w:sz w:val="17"/>
                <w:szCs w:val="17"/>
              </w:rPr>
              <w:t xml:space="preserve">6 days, 1 hour, 38 minutes</w:t>
            </w:r>
          </w:p>
        </w:tc>
        <w:tc>
          <w:tcPr>
            <w:tcMar>
              <w:top w:w="20" w:type="dxa"/>
              <w:left w:w="60" w:type="dxa"/>
              <w:bottom w:w="20" w:type="dxa"/>
              <w:right w:w="60" w:type="dxa"/>
            </w:tcMar>
          </w:tcPr>
          <w:p>
            <w:r>
              <w:rPr>
                <w:rFonts w:ascii="Arial" w:hAnsi="Arial"/>
                <w:color w:val="000000"/>
                <w:sz w:val="18"/>
              </w:rPr>
              <w:t>1(l)</w:t>
            </w:r>
          </w:p>
        </w:tc>
        <w:tc>
          <w:tcPr>
            <w:tcMar>
              <w:top w:w="20" w:type="dxa"/>
              <w:left w:w="60" w:type="dxa"/>
              <w:bottom w:w="20" w:type="dxa"/>
              <w:right w:w="6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w:t>
      </w:r>
      <w:r>
        <w:rPr>
          <w:rFonts w:ascii="Arial" w:hAnsi="Arial" w:cs="Arial"/>
          <w:b/>
          <w:sz w:val="20"/>
          <w:szCs w:val="20"/>
        </w:rPr>
        <w:t xml:space="preserve">does not identify, by particular, date, document or cross-reference, the management action relied upon</w:t>
      </w:r>
      <w:r>
        <w:rPr>
          <w:rFonts w:ascii="Arial" w:hAnsi="Arial" w:cs="Arial"/>
          <w:sz w:val="20"/>
          <w:szCs w:val="20"/>
        </w:rPr>
        <w:t xml:space="preserve">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Any such circumstances found to have contributed to the disorder must be taken into account in deciding whether the injury as a whole arose out of, or in the course of, reasonable management action taken in a reasonable way, within section 32(5)(a) (paragraph 7 below).</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 xml:space="preserve">The Respondent's notified lay evidence.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By particular, the outlines give no account of the dated events at Stressor 1(b), 1(f), 1(h) and 1(k), or at Stressor 3(e) and 3(f); nor of the internal records at Stressor 3(g) and 3(h), which are relied on only as proof of how the matters at 3(d) to 3(f) were handled. On the causal particulars, the facts are admitted, and the questions are whether each was management action, whether any management action was reasonable and taken in a reasonable way, and whether it contributed to the injury.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w:t>
      </w:r>
      <w:r>
        <w:rPr>
          <w:rFonts w:ascii="Arial" w:hAnsi="Arial" w:cs="Arial"/>
          <w:sz w:val="20"/>
          <w:szCs w:val="20"/>
        </w:rPr>
        <w:t xml:space="preserve">The Appellant's pleaded and medical case is that the disorder arose from the actual workplace circumstances and events identified in Part B.2, which the Respondent has admitted, rather than from an expectation or perception of reasonable management action being taken against him. That causal issue is for the Commission to decide on the evidence.</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 and that another decision be substituted under section 558(1)(c) of the Act: that the Appellant's application for compensation is accepted.</w:t>
      </w:r>
    </w:p>
    <w:p>
      <w:pPr>
        <w:spacing w:before="0" w:after="100" w:line="264" w:lineRule="auto"/>
      </w:pPr>
      <w:r>
        <w:rPr>
          <w:rFonts w:ascii="Arial" w:hAnsi="Arial" w:cs="Arial"/>
          <w:b/>
          <w:sz w:val="20"/>
          <w:szCs w:val="20"/>
        </w:rPr>
        <w:t xml:space="preserve">3.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Respondent pay the Appellant's costs of the hearing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hearing,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in the hearing and to its importance, difficulty and complexity: an appeal about a psychological injury under section 32(5)(a), heard on a record of 303 facts, 298 of them admitted, and the documents at Annexure A to the notice to admit, against the evidence of the Respondent's four witnesses, which requires each pleaded circumstance to be classified, each management action assessed for reasonableness, and the whole weighed. The non-party disclosure under rule 64G, the two notices to admit facts and the notice to admit documents are relied on only as showing the work involved in, and the complexity of, the hearing, not as costs recoverable in themselves.</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Sig1" Type="http://schemas.openxmlformats.org/officeDocument/2006/relationships/image" Target="media/signa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