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WC/2024/227 - Cory Lea Shepherd v Workers' Compensation Regulator. Set out for the purposes of Part 4.8 of the Workers' Compensation Appeal Guide. There are three stressors. Each is pleaded below by dated particulars, lettered in date order; the causal particulars are identified at the head of each stressor, and the other particulars are context. An index of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conditions in which the work was carried 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Particulars 1(a) to 1(l); causal particulars 1(b), 1(d), 1(f) to 1(h), 1(k) and 1(l).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Remuneration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at 13 May, still awaited on 21 May, lodged 28 May and recorded "Part Completed"; a paid leave request declined twice, with the Respondent acknowledging that the attachments were present. Particulars 2(a) to 2(o); causal particulars 2(a) to 2(i) and 2(l) to 2(n).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roster and fatigue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roster decision recorded on 10 May 2024; no fatigue risk management at the Switchboard before 30 June 2024; and the Respondent's own review finding that the rostering was unreasonable management action. Particulars 3(a) to 3(h); causal particulars 3(b) to 3(h).</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 It was provided four times in all: once to the Manager, and three times through myHR.</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1(i) and 1(j),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2(i) and 2(l) to 2(n) identify the entitlement and correction events before the certified injury date. Particular 2(j) records a completed claim in the same period, and particular 2(k) the related HR follow-up; both are context.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3(h). Particular 3(a) is pleaded as context, not as a separate cause.</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His request of 8 April 2024 for fatigue payment was refused on 1 May 2024, 23 days later, by reference to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To the extent those circumstances are not management action and were a significant contributing factor, the injury did not arise out of management action, and section 32(5)(a) does not exclude it (paragraphs 6 and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spacing w:before="0" w:after="100" w:line="264" w:lineRule="auto"/>
      </w:pPr>
      <w:r>
        <w:rPr>
          <w:rFonts w:ascii="Arial" w:hAnsi="Arial" w:cs="Arial"/>
          <w:b/>
          <w:sz w:val="20"/>
          <w:szCs w:val="20"/>
        </w:rPr>
        <w:t xml:space="preserve">11. </w:t>
      </w:r>
      <w:r>
        <w:rPr>
          <w:rFonts w:ascii="Arial" w:hAnsi="Arial" w:cs="Arial"/>
          <w:b w:val="0"/>
          <w:sz w:val="20"/>
          <w:szCs w:val="20"/>
        </w:rPr>
        <w:t>The particulars on which the Respondent's notified evidence gives no account. Read with paragraph 5A, the Respondent's outlines of 24 September 2026 give no account of the dated events at Stressor 1(b), 1(f), 1(h) and 1(k), or at Stressor 3(e) to 3(h). As to Stressor 3(b), they describe the seven-hour break as "the result of human error" and, on the advice returned within payroll, "a rostering practice issue for the line manager". As to Stressor 2(b), they describe the second decline as one that "appears to have been made in error". On those particulars the facts are admitted, and the questions are whether each was management action, whether any management action was reasonable and taken in a reasonable way, and whether it contributed to the injury.</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