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b w:val="0"/>
          <w:sz w:val="19"/>
          <w:szCs w:val="19"/>
        </w:rPr>
        <w:t>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identifies the admissions supporting each stressor and distinguishes them from the other documents and the Appellant's own evidence,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supports, with the paragraph number of the admission against each, so that the whole case can be read in one document. The three themes are retained, with dated lettered particulars and an event list following Part 4.8 of the Appeal Guide. Duties, standards, medical links and the Respondent's pleaded explanations are unlettered. Each theme and its particulars can be understood independently; where a fact matters to more than one stressor it is repeated, and the pleading says so. The schedule to this letter lists the documents relied on, other than the treating medical records served on 9 September 2026, and their status.</w:t>
      </w:r>
      <w:r>
        <w:rPr>
          <w:rStyle w:val="CommentReference"/>
        </w:rPr>
      </w:r>
    </w:p>
    <w:p>
      <w:pPr>
        <w:spacing w:before="0" w:after="80" w:line="264" w:lineRule="auto"/>
      </w:pPr>
      <w:r>
        <w:rPr>
          <w:rFonts w:ascii="Arial" w:hAnsi="Arial" w:cs="Arial"/>
          <w:b/>
          <w:sz w:val="19"/>
          <w:szCs w:val="19"/>
        </w:rPr>
        <w:t xml:space="preserve">The matter, in summary. </w:t>
      </w:r>
      <w:r>
        <w:rPr>
          <w:rFonts w:ascii="Arial" w:hAnsi="Arial" w:cs="Arial"/>
          <w:b w:val="0"/>
          <w:sz w:val="19"/>
          <w:szCs w:val="19"/>
        </w:rPr>
        <w:t>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fixed office hours were not stated for approximately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request was declined twice, with the Respondent acknowledging that attachments were present at the later decline (116, 118, 134). Stressor 3: a seven-hour break was rostered between 17 and 18 March 2024 (284) against a minimum of ten hours, or eight by written agreement (285), an agreement whose application is disputed by reference to the later Human Resources email, with no swap alleged (225, 234); the fatigue enquiry was answered after 23 days with a refusal (247, 249); the employer states that fatigue risk management assessment was implemented after 30 June 2024, to be read with the May risk-matrix discussion (264, 269 to 271); and the Respondent's own review found the rostering was unreasonable management action (260) and employment a significant contributing factor (262). Paragraph 27 of the Respondent's statement does not itself identify the management action relied on (303); the particular explanations pleaded elsewhere remain to be assessed.</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Neither the list nor the outlines names a medical or expert witness, and no expert report has been served as at 30 September 2026.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80" w:line="264" w:lineRule="auto"/>
      </w:pPr>
      <w:r>
        <w:rPr>
          <w:rFonts w:ascii="Arial" w:hAnsi="Arial" w:cs="Arial"/>
          <w:b/>
          <w:sz w:val="19"/>
          <w:szCs w:val="19"/>
        </w:rPr>
        <w:t xml:space="preserve">The Respondent's section 32(5) contention. </w:t>
      </w:r>
      <w:r>
        <w:rPr>
          <w:rFonts w:ascii="Arial" w:hAnsi="Arial" w:cs="Arial"/>
          <w:sz w:val="19"/>
          <w:szCs w:val="19"/>
        </w:rPr>
        <w:t>Paragraph 27 of the Respondent's amended statement of facts and contentions of 13 May 2026 contends that any management action was reasonable management action taken in a reasonable way. The Respondent admitted on 8 September 2026 that paragraph 27 does not identify, by particular, date, document or cross-reference, the management action relied upon (fact 303). The Second Amended Form 9A now sets out each particular by date. The Appellant asks that the Respondent be directed to state, for each particular, whether it contends that it was management action and, if so, the facts relied on to say it was reasonable and taken in a reasonable way (item 4 of the election), so that the issues for the conference and any hearing are identified.</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is 33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1(i),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tcMar>
              <w:top w:w="65" w:type="dxa"/>
              <w:left w:w="80" w:type="dxa"/>
              <w:bottom w:w="65" w:type="dxa"/>
              <w:right w:w="80" w:type="dxa"/>
            </w:tcMar>
          </w:tcPr>
          <w:p>
            <w:r>
              <w:rPr>
                <w:rFonts w:ascii="Arial" w:hAnsi="Arial"/>
                <w:color w:val="000000"/>
                <w:sz w:val="18"/>
              </w:rPr>
              <w:t>Stressor 1(i), for dates, senders and recipients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27 pages.</w:t>
      </w:r>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s>
</file>