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and dated particulars. </w:t>
      </w:r>
      <w:r>
        <w:rPr>
          <w:rFonts w:ascii="Arial" w:hAnsi="Arial" w:cs="Arial"/>
          <w:b w:val="0"/>
          <w:sz w:val="20"/>
          <w:szCs w:val="20"/>
        </w:rPr>
        <w:t>WC/2024/227 - Cory Lea Shepherd v Workers' Compensation Regulator. The list identifies the individual events and issues under the three themes for the purposes of Part 4.8 of the Workers' Compensation Appeal Guide. Descriptions identify material already pleaded as context only or as later evidence; those entries do not add causes of injury.</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Event or issue</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Rest was offered after an acknowledged error; the Appellant proposed increased hours.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and 1(j) to 1(l). Particulars 1(a), 1(c), 1(e) and 1(i)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1(l).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On-call roster and absence notification instructions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and 1(i),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and 1(j) to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particulars in the list of stressors, and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each particular or circumstance that is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