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stressor or allegation; its further particulars are drawn from the admitted facts and the documents identified in the schedule.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stressors are retained, with dated lettered particulars; the list of stressors follows Part 4.8 of the Appeal Guide, and Part 3 of the schedule indexes the particulars.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30 September 2026.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1(i),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tcMar>
              <w:top w:w="65" w:type="dxa"/>
              <w:left w:w="80" w:type="dxa"/>
              <w:bottom w:w="65" w:type="dxa"/>
              <w:right w:w="80" w:type="dxa"/>
            </w:tcMar>
          </w:tcPr>
          <w:p>
            <w:r>
              <w:rPr>
                <w:rFonts w:ascii="Arial" w:hAnsi="Arial"/>
                <w:color w:val="000000"/>
                <w:sz w:val="18"/>
              </w:rPr>
              <w:t>Stressor 1(i), for dates, senders and recipients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Enclosure: Second Amended Statement of Facts and Contentions (Form 9A).</w:t>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2(j) and 2(l) to 2(n); and 3(b) to 3(h). The others, 1(a), 1(c), 1(e), 1(i), 1(j),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s>
</file>