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stressor or allegation; its further particulars are drawn from the admitted facts and the documents identified in the schedule.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stressors are retained, with dated lettered particulars; the list of stressors follows Part 4.8 of the Appeal Guide, and Part 3 of the schedule indexes the particulars.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taken to be authentic and received at hearing.</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and 2(l) to 2(n); and 3(b) to 3(h). The others, 1(a), 1(c), 1(e), 1(i), 1(j), 2(j),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recorded his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s>
</file>