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b w:val="0"/>
          <w:sz w:val="20"/>
          <w:szCs w:val="20"/>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 xml:space="preserve">No.</w:t>
            </w:r>
          </w:p>
        </w:tc>
        <w:tc>
          <w:tcPr>
            <w:tcW w:type="dxa" w:w="1616"/>
            <w:shd w:val="clear" w:color="auto" w:fill="E8E8E8"/>
            <w:tcMar>
              <w:top w:w="65" w:type="dxa"/>
              <w:left w:w="80" w:type="dxa"/>
              <w:bottom w:w="65" w:type="dxa"/>
              <w:right w:w="80" w:type="dxa"/>
            </w:tcMar>
          </w:tcPr>
          <w:p>
            <w:r>
              <w:rPr>
                <w:rFonts w:ascii="Arial" w:hAnsi="Arial"/>
                <w:b/>
                <w:color w:val="000000"/>
                <w:sz w:val="18"/>
              </w:rPr>
              <w:t xml:space="preserve">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 xml:space="preserve">Title</w:t>
            </w:r>
          </w:p>
        </w:tc>
        <w:tc>
          <w:tcPr>
            <w:tcW w:type="dxa" w:w="5017"/>
            <w:shd w:val="clear" w:color="auto" w:fill="E8E8E8"/>
            <w:tcMar>
              <w:top w:w="65" w:type="dxa"/>
              <w:left w:w="80" w:type="dxa"/>
              <w:bottom w:w="65" w:type="dxa"/>
              <w:right w:w="80" w:type="dxa"/>
            </w:tcMar>
          </w:tcPr>
          <w:p>
            <w:r>
              <w:rPr>
                <w:rFonts w:ascii="Arial" w:hAnsi="Arial"/>
                <w:b/>
                <w:color w:val="000000"/>
                <w:sz w:val="18"/>
              </w:rPr>
              <w:t xml:space="preserve">Description</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1</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 context from 6 June 2023</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The conditions in which the work was carried on</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Particulars 1(a) to 1(l);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Operators' access to the database removed and not restored; corrections only through the Coordinator (Tuesdays and every second Monday) or the Manager, and after-hours requests left to wait.</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stated that her hours would vary; no fixed office hours stated to staff for approximately nine months.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new on-call process, effective the day it was notified; no listed record of consultation.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new checking process for data entry, introduced following data entry errors.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Nine occasions of calls reaching the wrong team, including a MET-call enquiry, with the complaints reaching the Appellant in the registrars' own calls to the Switchboard; the Manager's first reply after 5 days, 18 hours and 14 minutes; a new process sent to staff on 9 May.</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Appellant's written request for the Manager's office hours at 1:15 pm; the Director's request that he retract it, 5 hours and 8 minutes later.</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2</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to 5 June 2024; later correction to 2 July 2025</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Remuneration</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Shift under-recorded; the fortnight topped up from the Appellant's RDO balance.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material provided four times; two declines; final approval after ten days; the Respondent pleads that the attachments were present.</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Shift under-recorded; the fortnight again topped up from the RDO balance.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Too many ordinary shifts recorded, reducing wages; one shift needed to be overtime.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On Payroll's later account, the public holiday claim was submitted late.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Hours over the contracted 76, again requiring overtime.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Appellant's pay enquiry, his follow-up after more than two weeks, and a refusal on 1 May with the public holiday review still open.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copying the Appellant, directed the Manager to submit an AVAC for each of four fortnights.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 followed up; Payroll replied that nothing had been corrected and referred him back to the line manager.</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wrote that she was still waiting for payroll confirmation.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Validation request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asked the Appellant to sign a validation form for claims older than three months.</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3</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17 March to 20 May 2024; context from 7 August 2023</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The roster and fatigue</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no fatigue risk management at the Switchboard before 30 June 2024; and the Respondent's own review finding that the rostering was unreasonable management action. Particulars 3(a) to 3(h);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next day recorded as the Appellant's own sick leave (7.60 hours); the Respondent says no fatigue leave was due.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fatigue enquiry answered after 23 days with a refusal relying on the 2020 agreement, with a note that he could end it "going forward".</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roster line error acknowledged; no contact about alternative shifts alleged.</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 raised the fatigue toolkit without feedback; the Director said HR advice was being sought.</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 On 8 August 2023 he confirmed that he would work the replacement shift and was looking to pick up another. [¶ 29]</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Manager's first reply was sent on 9 May at 9:20 am, five days, eighteen hours and fourteen minutes after the first email.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 The Appellant's evidence is that the complaints about the misdirected calls reached him at the time in the registrars' own calls to the Switchboard, and that what he received from the Manager about them was her email to Logan Switch at 10:15 am on 9 May 2024, which stated that it included the email trail below it for reference. [¶¶ 66 to 67] The Registrar's emails of 3 and 8 May 2024 were addressed to the Manager and Dr Wong [¶¶ 56, 59]; the Appellant's evidence is that he saw them in that trail on 9 May 2024.</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the Manager's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 chronology only (13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pPr>
      <w:r>
        <w:rPr>
          <w:rFonts w:ascii="Arial" w:hAnsi="Arial" w:cs="Arial"/>
          <w:b/>
          <w:sz w:val="20"/>
          <w:szCs w:val="20"/>
        </w:rPr>
        <w:t xml:space="preserve">1(j) On-call roster and absence notification instructions - context only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she had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pPr>
      <w:r>
        <w:rPr>
          <w:rFonts w:ascii="Arial" w:hAnsi="Arial" w:cs="Arial"/>
          <w:sz w:val="20"/>
          <w:szCs w:val="20"/>
        </w:rPr>
        <w:t xml:space="preserve">The Respondent does not allege that any change was made to the operating procedures of the Switchboard as a consequence of any employee complaint at any time before 30 June 2024 [¶ 272]; its position on fatigue risk management before that date is pleaded at Stressor 3, supporting fatigue records [¶¶ 269 to 271].</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 xml:space="preserve">The Respondent's pleaded answer, including paragraph 27 of its statement, is at Part C, paragraph 10. [¶¶ 300 to 303] The matters at 1(a), 1(c), 1(e), 1(i) and 1(j),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 context only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 record only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 record of when corrected (5 June 2024). </w:t>
      </w:r>
      <w:r>
        <w:rPr>
          <w:rFonts w:ascii="Arial" w:hAnsi="Arial" w:cs="Arial"/>
          <w:b w:val="0"/>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pPr>
      <w:r>
        <w:rPr>
          <w:rFonts w:ascii="Arial" w:hAnsi="Arial" w:cs="Arial"/>
          <w:b/>
          <w:sz w:val="20"/>
          <w:szCs w:val="20"/>
        </w:rPr>
        <w:t xml:space="preserve">2(o) Later correction of the 9 February shift - record of when corrected (30 June to 2 July 2025). </w:t>
      </w:r>
      <w:r>
        <w:rPr>
          <w:rFonts w:ascii="Arial" w:hAnsi="Arial" w:cs="Arial"/>
          <w:b w:val="0"/>
          <w:sz w:val="20"/>
          <w:szCs w:val="20"/>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 context only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pPr>
      <w:r>
        <w:rPr>
          <w:rFonts w:ascii="Arial" w:hAnsi="Arial" w:cs="Arial"/>
          <w:b/>
          <w:sz w:val="20"/>
          <w:szCs w:val="20"/>
        </w:rPr>
        <w:t xml:space="preserve">3(g) Risk rating and roster decision recorded - internal record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 internal record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only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Manager's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Manager's reply at 4:30 pm, two hours after the office hours she had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 xml:space="preserve">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to 3(h). On those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w:t>
      </w:r>
      <w:r>
        <w:rPr>
          <w:rFonts w:ascii="Arial" w:hAnsi="Arial" w:cs="Arial"/>
          <w:sz w:val="20"/>
          <w:szCs w:val="20"/>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pPr>
      <w:r>
        <w:rPr>
          <w:rFonts w:ascii="Arial" w:hAnsi="Arial" w:cs="Arial"/>
          <w:b/>
          <w:sz w:val="20"/>
          <w:szCs w:val="20"/>
        </w:rPr>
        <w:t xml:space="preserve">3.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Respondent pay the Appellant's costs of the hearing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hearing,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