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41CC" w14:textId="77777777" w:rsidR="00440DEA" w:rsidRDefault="001B58D7">
      <w:pPr>
        <w:spacing w:before="1200" w:after="300"/>
        <w:jc w:val="center"/>
      </w:pPr>
      <w:r>
        <w:rPr>
          <w:b/>
          <w:bCs/>
          <w:color w:val="555555"/>
          <w:sz w:val="24"/>
          <w:szCs w:val="24"/>
        </w:rPr>
        <w:t>DOCUMENT DE CADRAGE</w:t>
      </w:r>
    </w:p>
    <w:p w14:paraId="130A41CD" w14:textId="77777777" w:rsidR="00440DEA" w:rsidRDefault="001B58D7">
      <w:pPr>
        <w:spacing w:after="300"/>
        <w:jc w:val="center"/>
      </w:pPr>
      <w:r>
        <w:rPr>
          <w:b/>
          <w:bCs/>
          <w:sz w:val="36"/>
          <w:szCs w:val="36"/>
        </w:rPr>
        <w:t xml:space="preserve">Modélisation de la distribution de l’Engoulevent bois-pourri au Québec à partir des données </w:t>
      </w:r>
      <w:proofErr w:type="spellStart"/>
      <w:r>
        <w:rPr>
          <w:b/>
          <w:bCs/>
          <w:sz w:val="36"/>
          <w:szCs w:val="36"/>
        </w:rPr>
        <w:t>eBird</w:t>
      </w:r>
      <w:proofErr w:type="spellEnd"/>
    </w:p>
    <w:p w14:paraId="130A41CE" w14:textId="77777777" w:rsidR="00440DEA" w:rsidRDefault="001B58D7">
      <w:pPr>
        <w:spacing w:after="800"/>
        <w:jc w:val="center"/>
      </w:pPr>
      <w:r>
        <w:rPr>
          <w:i/>
          <w:iCs/>
          <w:color w:val="444444"/>
          <w:sz w:val="26"/>
          <w:szCs w:val="26"/>
        </w:rPr>
        <w:t>Comparaison d’un modèle d’</w:t>
      </w:r>
      <w:proofErr w:type="spellStart"/>
      <w:r>
        <w:rPr>
          <w:i/>
          <w:iCs/>
          <w:color w:val="444444"/>
          <w:sz w:val="26"/>
          <w:szCs w:val="26"/>
        </w:rPr>
        <w:t>occupancy</w:t>
      </w:r>
      <w:proofErr w:type="spellEnd"/>
      <w:r>
        <w:rPr>
          <w:i/>
          <w:iCs/>
          <w:color w:val="444444"/>
          <w:sz w:val="26"/>
          <w:szCs w:val="26"/>
        </w:rPr>
        <w:t xml:space="preserve"> et d’un modèle de taux de rencontre</w:t>
      </w:r>
    </w:p>
    <w:p w14:paraId="130A41CF" w14:textId="77777777" w:rsidR="00440DEA" w:rsidRDefault="001B58D7">
      <w:pPr>
        <w:spacing w:after="80"/>
        <w:jc w:val="center"/>
      </w:pPr>
      <w:r>
        <w:t>GMQ405 — Modélisation et analyse spatiale</w:t>
      </w:r>
    </w:p>
    <w:p w14:paraId="130A41D0" w14:textId="77777777" w:rsidR="00440DEA" w:rsidRDefault="001B58D7">
      <w:pPr>
        <w:spacing w:after="80"/>
        <w:jc w:val="center"/>
      </w:pPr>
      <w:r>
        <w:t>Baccalauréat en géomatique appliquée à l’environnement</w:t>
      </w:r>
    </w:p>
    <w:p w14:paraId="130A41D1" w14:textId="77777777" w:rsidR="00440DEA" w:rsidRDefault="001B58D7">
      <w:pPr>
        <w:spacing w:after="800"/>
        <w:jc w:val="center"/>
      </w:pPr>
      <w:r>
        <w:t>Université de Sherbrooke</w:t>
      </w:r>
    </w:p>
    <w:p w14:paraId="130A41D2" w14:textId="77777777" w:rsidR="00440DEA" w:rsidRDefault="001B58D7">
      <w:pPr>
        <w:spacing w:after="80"/>
        <w:jc w:val="center"/>
      </w:pPr>
      <w:r>
        <w:t>Alexandre Chéné et coéquipiers (à compléter)</w:t>
      </w:r>
    </w:p>
    <w:p w14:paraId="130A41D3" w14:textId="77777777" w:rsidR="00440DEA" w:rsidRDefault="001B58D7">
      <w:pPr>
        <w:spacing w:after="80"/>
        <w:jc w:val="center"/>
      </w:pPr>
      <w:r>
        <w:rPr>
          <w:color w:val="666666"/>
        </w:rPr>
        <w:t>Juin 2026 — version 1.0</w:t>
      </w:r>
    </w:p>
    <w:p w14:paraId="130A41D4" w14:textId="77777777" w:rsidR="00440DEA" w:rsidRDefault="001B58D7">
      <w:pPr>
        <w:spacing w:after="80"/>
        <w:jc w:val="center"/>
      </w:pPr>
      <w:r>
        <w:rPr>
          <w:i/>
          <w:iCs/>
          <w:color w:val="666666"/>
          <w:sz w:val="20"/>
          <w:szCs w:val="20"/>
        </w:rPr>
        <w:t>Document de travail interne — équipe + évaluation</w:t>
      </w:r>
    </w:p>
    <w:p w14:paraId="130A41D5" w14:textId="77777777" w:rsidR="00440DEA" w:rsidRDefault="001B58D7">
      <w:r>
        <w:br w:type="page"/>
      </w:r>
    </w:p>
    <w:p w14:paraId="130A41D6" w14:textId="77777777" w:rsidR="00440DEA" w:rsidRDefault="001B58D7">
      <w:pPr>
        <w:pStyle w:val="Titre1"/>
        <w:spacing w:before="280"/>
      </w:pPr>
      <w:r>
        <w:lastRenderedPageBreak/>
        <w:t>1. Contexte et problématique</w:t>
      </w:r>
    </w:p>
    <w:p w14:paraId="130A41D7" w14:textId="77777777" w:rsidR="00440DEA" w:rsidRDefault="001B58D7">
      <w:pPr>
        <w:spacing w:after="120" w:line="300" w:lineRule="auto"/>
        <w:jc w:val="both"/>
      </w:pPr>
      <w:r>
        <w:t>L’Engoulevent bois-pourri (</w:t>
      </w:r>
      <w:proofErr w:type="spellStart"/>
      <w:r>
        <w:t>Antrostomus</w:t>
      </w:r>
      <w:proofErr w:type="spellEnd"/>
      <w:r>
        <w:t xml:space="preserve"> </w:t>
      </w:r>
      <w:proofErr w:type="spellStart"/>
      <w:r>
        <w:t>vociferus</w:t>
      </w:r>
      <w:proofErr w:type="spellEnd"/>
      <w:r>
        <w:t xml:space="preserve">) est un </w:t>
      </w:r>
      <w:proofErr w:type="spellStart"/>
      <w:r>
        <w:t>caprimulgidé</w:t>
      </w:r>
      <w:proofErr w:type="spellEnd"/>
      <w:r>
        <w:t xml:space="preserve"> nocturne insectivore aérien dont le déclin canadien est estimé à environ 3 % par an depuis 1970, soit une perte cumulative de plus de 50 % des effectifs (COSEPAC 2022). L’espèce est inscrite comme menacée à la Loi sur les espèces en péril du Canada et est désignée vulnérable au Québec en vertu de la Loi sur les espèces menacées ou vulnérables. Le Programme de rétablissement (ECCC 2018) identifie 51 unités d’habitat essentiel au Québec, principalement dans la portio</w:t>
      </w:r>
      <w:r>
        <w:t>n méridionale de la province.</w:t>
      </w:r>
    </w:p>
    <w:p w14:paraId="130A41D8" w14:textId="77777777" w:rsidR="00440DEA" w:rsidRDefault="001B58D7">
      <w:pPr>
        <w:spacing w:after="120" w:line="300" w:lineRule="auto"/>
        <w:jc w:val="both"/>
      </w:pPr>
      <w:r>
        <w:t>Sur le plan écologique, l’espèce occupe une niche structurelle particulière : forêt clairsemée à mi-fermée adjacente à des milieux ouverts (clairières, brûlis, affleurements rocheux, jeunes coupes) qui servent de territoire de chasse au crépuscule. Cette mosaïque d’habitats est mal capturée par des descripteurs continus du couvert et exige une approche multi-échelle. Le Québec se situe à la limite nord de l’aire de reproduction de l’espèce, ce qui en fait une sentinelle pertinente pour anticiper les déplace</w:t>
      </w:r>
      <w:r>
        <w:t>ments de niche sous l’effet des changements climatiques.</w:t>
      </w:r>
    </w:p>
    <w:p w14:paraId="130A41D9" w14:textId="77777777" w:rsidR="00440DEA" w:rsidRDefault="001B58D7">
      <w:pPr>
        <w:spacing w:after="120" w:line="300" w:lineRule="auto"/>
        <w:jc w:val="both"/>
      </w:pPr>
      <w:r>
        <w:t xml:space="preserve">Sur le plan méthodologique, les inventaires nocturnes structurés (route d’écoute) restent rares et géographiquement concentrés. La plateforme de science citoyenne </w:t>
      </w:r>
      <w:proofErr w:type="spellStart"/>
      <w:r>
        <w:t>eBird</w:t>
      </w:r>
      <w:proofErr w:type="spellEnd"/>
      <w:r>
        <w:t xml:space="preserve"> (Cornell </w:t>
      </w:r>
      <w:proofErr w:type="spellStart"/>
      <w:r>
        <w:t>Lab</w:t>
      </w:r>
      <w:proofErr w:type="spellEnd"/>
      <w:r>
        <w:t xml:space="preserve"> of </w:t>
      </w:r>
      <w:proofErr w:type="spellStart"/>
      <w:r>
        <w:t>Ornithology</w:t>
      </w:r>
      <w:proofErr w:type="spellEnd"/>
      <w:r>
        <w:t xml:space="preserve">) accumule depuis 2003 des observations géoréférencées avec un volume sans précédent, mais ces données présentent un fort biais d’effort spatial et une hétérogénéité de détectabilité particulièrement prononcée pour les espèces crépusculaires. Plusieurs travaux récents (Johnston et al. 2021 ; </w:t>
      </w:r>
      <w:proofErr w:type="spellStart"/>
      <w:r>
        <w:t>Strimas</w:t>
      </w:r>
      <w:proofErr w:type="spellEnd"/>
      <w:r>
        <w:t xml:space="preserve">-Mackey et al. 2023) ont établi un cadre analytique permettant d’extraire une information écologique fiable de ces données, à condition d’appliquer un protocole de filtrage et de </w:t>
      </w:r>
      <w:r>
        <w:t>modélisation rigoureux.</w:t>
      </w:r>
    </w:p>
    <w:p w14:paraId="130A41DA" w14:textId="77777777" w:rsidR="00440DEA" w:rsidRDefault="001B58D7">
      <w:pPr>
        <w:spacing w:after="120" w:line="300" w:lineRule="auto"/>
        <w:jc w:val="both"/>
      </w:pPr>
      <w:r>
        <w:t xml:space="preserve">Ce projet s’inscrit à l’intersection de ces deux constats : produire une cartographie prédictive de la distribution de l’Engoulevent bois-pourri au Québec, en exploitant les données </w:t>
      </w:r>
      <w:proofErr w:type="spellStart"/>
      <w:r>
        <w:t>eBird</w:t>
      </w:r>
      <w:proofErr w:type="spellEnd"/>
      <w:r>
        <w:t xml:space="preserve"> tout en mettant en regard deux paradigmes de modélisation de la niche (</w:t>
      </w:r>
      <w:proofErr w:type="spellStart"/>
      <w:r>
        <w:t>occupancy</w:t>
      </w:r>
      <w:proofErr w:type="spellEnd"/>
      <w:r>
        <w:t xml:space="preserve"> </w:t>
      </w:r>
      <w:proofErr w:type="spellStart"/>
      <w:r>
        <w:t>modelling</w:t>
      </w:r>
      <w:proofErr w:type="spellEnd"/>
      <w:r>
        <w:t xml:space="preserve"> et taux de rencontre par apprentissage automatique).</w:t>
      </w:r>
    </w:p>
    <w:p w14:paraId="130A41DB" w14:textId="77777777" w:rsidR="00440DEA" w:rsidRDefault="001B58D7">
      <w:pPr>
        <w:pStyle w:val="Titre1"/>
        <w:spacing w:before="280"/>
      </w:pPr>
      <w:r>
        <w:t>2. Question de recherche et hypothèses</w:t>
      </w:r>
    </w:p>
    <w:p w14:paraId="130A41DC" w14:textId="77777777" w:rsidR="00440DEA" w:rsidRDefault="001B58D7">
      <w:pPr>
        <w:pStyle w:val="Titre2"/>
      </w:pPr>
      <w:r>
        <w:t>2.1 Question principale</w:t>
      </w:r>
    </w:p>
    <w:p w14:paraId="130A41DD" w14:textId="77777777" w:rsidR="00440DEA" w:rsidRDefault="001B58D7">
      <w:pPr>
        <w:spacing w:after="120" w:line="300" w:lineRule="auto"/>
        <w:jc w:val="both"/>
      </w:pPr>
      <w:r>
        <w:rPr>
          <w:b/>
          <w:bCs/>
        </w:rPr>
        <w:t>Quelles variables environnementales structurent la probabilité de présence de l’Engoulevent bois-pourri au Québec, et où se trouvent les habitats les plus favorables à sa reproduction ?</w:t>
      </w:r>
    </w:p>
    <w:p w14:paraId="130A41DE" w14:textId="77777777" w:rsidR="00440DEA" w:rsidRDefault="001B58D7">
      <w:pPr>
        <w:pStyle w:val="Titre2"/>
      </w:pPr>
      <w:r>
        <w:t>2.2 Sous-questions méthodologiques</w:t>
      </w:r>
    </w:p>
    <w:p w14:paraId="130A41DF" w14:textId="77777777" w:rsidR="00440DEA" w:rsidRDefault="001B58D7">
      <w:pPr>
        <w:pStyle w:val="Paragraphedeliste"/>
        <w:numPr>
          <w:ilvl w:val="0"/>
          <w:numId w:val="2"/>
        </w:numPr>
        <w:spacing w:after="80" w:line="280" w:lineRule="auto"/>
        <w:jc w:val="both"/>
      </w:pPr>
      <w:r>
        <w:t>Comment se comparent une approche d’</w:t>
      </w:r>
      <w:proofErr w:type="spellStart"/>
      <w:r>
        <w:t>occupancy</w:t>
      </w:r>
      <w:proofErr w:type="spellEnd"/>
      <w:r>
        <w:t xml:space="preserve"> </w:t>
      </w:r>
      <w:proofErr w:type="spellStart"/>
      <w:r>
        <w:t>modelling</w:t>
      </w:r>
      <w:proofErr w:type="spellEnd"/>
      <w:r>
        <w:t xml:space="preserve"> et un modèle de taux de rencontre par Random Forest pour cartographier cette distribution à partir de données </w:t>
      </w:r>
      <w:proofErr w:type="spellStart"/>
      <w:r>
        <w:t>eBird</w:t>
      </w:r>
      <w:proofErr w:type="spellEnd"/>
      <w:r>
        <w:t xml:space="preserve"> ?</w:t>
      </w:r>
    </w:p>
    <w:p w14:paraId="130A41E0" w14:textId="77777777" w:rsidR="00440DEA" w:rsidRDefault="001B58D7">
      <w:pPr>
        <w:pStyle w:val="Paragraphedeliste"/>
        <w:numPr>
          <w:ilvl w:val="0"/>
          <w:numId w:val="2"/>
        </w:numPr>
        <w:spacing w:after="80" w:line="280" w:lineRule="auto"/>
        <w:jc w:val="both"/>
      </w:pPr>
      <w:r>
        <w:t xml:space="preserve">Quelle est l’ampleur du biais d’effort introduit par la nature crépusculaire de l’espèce, et dans quelle mesure les </w:t>
      </w:r>
      <w:proofErr w:type="spellStart"/>
      <w:r>
        <w:t>covariables</w:t>
      </w:r>
      <w:proofErr w:type="spellEnd"/>
      <w:r>
        <w:t xml:space="preserve"> d’effort permettent-elles d’y remédier ?</w:t>
      </w:r>
    </w:p>
    <w:p w14:paraId="130A41E1" w14:textId="77777777" w:rsidR="00440DEA" w:rsidRDefault="001B58D7">
      <w:pPr>
        <w:pStyle w:val="Paragraphedeliste"/>
        <w:numPr>
          <w:ilvl w:val="0"/>
          <w:numId w:val="2"/>
        </w:numPr>
        <w:spacing w:after="80" w:line="280" w:lineRule="auto"/>
        <w:jc w:val="both"/>
      </w:pPr>
      <w:r>
        <w:lastRenderedPageBreak/>
        <w:t>Quelles régions du Québec présentent une incertitude prédictive élevée qui justifierait des inventaires acoustiques ciblés ?</w:t>
      </w:r>
    </w:p>
    <w:p w14:paraId="130A41E2" w14:textId="77777777" w:rsidR="00440DEA" w:rsidRDefault="001B58D7">
      <w:pPr>
        <w:pStyle w:val="Titre2"/>
      </w:pPr>
      <w:r>
        <w:t>2.3 Hypothèses de travail</w:t>
      </w:r>
    </w:p>
    <w:p w14:paraId="130A41E3" w14:textId="77777777" w:rsidR="00440DEA" w:rsidRDefault="001B58D7">
      <w:pPr>
        <w:pStyle w:val="Paragraphedeliste"/>
        <w:numPr>
          <w:ilvl w:val="0"/>
          <w:numId w:val="2"/>
        </w:numPr>
        <w:spacing w:after="80" w:line="280" w:lineRule="auto"/>
        <w:jc w:val="both"/>
      </w:pPr>
      <w:r>
        <w:rPr>
          <w:b/>
          <w:bCs/>
        </w:rPr>
        <w:t xml:space="preserve">H1. </w:t>
      </w:r>
      <w:r>
        <w:t>La probabilité d’occupation augmente avec la proportion de forêts feuillues clairsemées et d’interfaces forêt-clairière à une échelle de l’ordre du domaine vital (5–50 ha), conformément aux résultats de Wilson &amp; Watts (2008) en Virginie.</w:t>
      </w:r>
    </w:p>
    <w:p w14:paraId="130A41E4" w14:textId="77777777" w:rsidR="00440DEA" w:rsidRDefault="001B58D7">
      <w:pPr>
        <w:pStyle w:val="Paragraphedeliste"/>
        <w:numPr>
          <w:ilvl w:val="0"/>
          <w:numId w:val="2"/>
        </w:numPr>
        <w:spacing w:after="80" w:line="280" w:lineRule="auto"/>
        <w:jc w:val="both"/>
      </w:pPr>
      <w:r>
        <w:rPr>
          <w:b/>
          <w:bCs/>
        </w:rPr>
        <w:t xml:space="preserve">H2. </w:t>
      </w:r>
      <w:r>
        <w:t xml:space="preserve">La probabilité de détection chute fortement avec la distance temporelle au coucher du soleil, avec une lune décroissante et avec les durées d’écoute courtes. Ces effets seront capturés par les </w:t>
      </w:r>
      <w:proofErr w:type="spellStart"/>
      <w:r>
        <w:t>covariables</w:t>
      </w:r>
      <w:proofErr w:type="spellEnd"/>
      <w:r>
        <w:t xml:space="preserve"> d’effort issues du fichier sampling.</w:t>
      </w:r>
    </w:p>
    <w:p w14:paraId="130A41E5" w14:textId="77777777" w:rsidR="00440DEA" w:rsidRDefault="001B58D7">
      <w:pPr>
        <w:pStyle w:val="Paragraphedeliste"/>
        <w:numPr>
          <w:ilvl w:val="0"/>
          <w:numId w:val="2"/>
        </w:numPr>
        <w:spacing w:after="80" w:line="280" w:lineRule="auto"/>
        <w:jc w:val="both"/>
      </w:pPr>
      <w:r>
        <w:rPr>
          <w:b/>
          <w:bCs/>
        </w:rPr>
        <w:t xml:space="preserve">H3. </w:t>
      </w:r>
      <w:r>
        <w:t>Le modèle d’</w:t>
      </w:r>
      <w:proofErr w:type="spellStart"/>
      <w:r>
        <w:t>occupancy</w:t>
      </w:r>
      <w:proofErr w:type="spellEnd"/>
      <w:r>
        <w:t>, en séparant explicitement détection et présence, produira une carte plus conservative que le Random Forest non corrigé. Les zones de divergence entre les deux modèles correspondront aux régions sous-échantillonnées la nuit.</w:t>
      </w:r>
    </w:p>
    <w:p w14:paraId="130A41E6" w14:textId="77777777" w:rsidR="00440DEA" w:rsidRDefault="001B58D7">
      <w:pPr>
        <w:pStyle w:val="Titre1"/>
        <w:spacing w:before="280"/>
      </w:pPr>
      <w:r>
        <w:t>3. Aire d’étude et données</w:t>
      </w:r>
    </w:p>
    <w:p w14:paraId="130A41E7" w14:textId="77777777" w:rsidR="00440DEA" w:rsidRDefault="001B58D7">
      <w:pPr>
        <w:pStyle w:val="Titre2"/>
      </w:pPr>
      <w:r>
        <w:t>3.1 Aire d’étude</w:t>
      </w:r>
    </w:p>
    <w:p w14:paraId="130A41E8" w14:textId="77777777" w:rsidR="00440DEA" w:rsidRDefault="001B58D7">
      <w:pPr>
        <w:spacing w:after="120" w:line="300" w:lineRule="auto"/>
        <w:jc w:val="both"/>
      </w:pPr>
      <w:r>
        <w:t xml:space="preserve">L’aire d’étude couvre le sud du Québec, du domaine de l’érablière au domaine de la pessière noire méridionale, englobant les régions naturelles où l’espèce a été historiquement signalée : Outaouais, Laurentides, Estrie, Centre-du-Québec, Bas-Saint-Laurent et sud du Saguenay–Lac-Saint-Jean. La projection retenue est NAD83(CSRS) / Quebec Lambert (EPSG:32198). La résolution prédictive cible est de 1 km, contrainte par la précision géographique des points </w:t>
      </w:r>
      <w:proofErr w:type="spellStart"/>
      <w:r>
        <w:t>eBird</w:t>
      </w:r>
      <w:proofErr w:type="spellEnd"/>
      <w:r>
        <w:t xml:space="preserve"> et par la résolution des produits climatiques.</w:t>
      </w:r>
    </w:p>
    <w:p w14:paraId="130A41E9" w14:textId="77777777" w:rsidR="00440DEA" w:rsidRDefault="001B58D7">
      <w:pPr>
        <w:pStyle w:val="Titre2"/>
      </w:pPr>
      <w:r>
        <w:t>3.2 Données d’observation</w:t>
      </w:r>
    </w:p>
    <w:p w14:paraId="130A41EA" w14:textId="77777777" w:rsidR="00440DEA" w:rsidRDefault="001B58D7">
      <w:pPr>
        <w:spacing w:after="120" w:line="300" w:lineRule="auto"/>
        <w:jc w:val="both"/>
      </w:pPr>
      <w:r>
        <w:t xml:space="preserve">Le jeu de données principal est le </w:t>
      </w:r>
      <w:proofErr w:type="spellStart"/>
      <w:r>
        <w:t>eBird</w:t>
      </w:r>
      <w:proofErr w:type="spellEnd"/>
      <w:r>
        <w:t xml:space="preserve"> Basic </w:t>
      </w:r>
      <w:proofErr w:type="spellStart"/>
      <w:r>
        <w:t>Dataset</w:t>
      </w:r>
      <w:proofErr w:type="spellEnd"/>
      <w:r>
        <w:t xml:space="preserve">, version Apr-2026, restreint à la province du Québec. L’extraction est réalisée avec le package R </w:t>
      </w:r>
      <w:proofErr w:type="spellStart"/>
      <w:r>
        <w:t>auk</w:t>
      </w:r>
      <w:proofErr w:type="spellEnd"/>
      <w:r>
        <w:t xml:space="preserve"> (</w:t>
      </w:r>
      <w:proofErr w:type="spellStart"/>
      <w:r>
        <w:t>Strimas</w:t>
      </w:r>
      <w:proofErr w:type="spellEnd"/>
      <w:r>
        <w:t xml:space="preserve">-Mackey, Miller &amp; </w:t>
      </w:r>
      <w:proofErr w:type="spellStart"/>
      <w:r>
        <w:t>Hochachka</w:t>
      </w:r>
      <w:proofErr w:type="spellEnd"/>
      <w:r>
        <w:t xml:space="preserve"> 2018) en appliquant les filtres recommandés par Johnston et al. (2021) : checklists complètes uniquement (</w:t>
      </w:r>
      <w:proofErr w:type="spellStart"/>
      <w:r>
        <w:t>auk_</w:t>
      </w:r>
      <w:proofErr w:type="gramStart"/>
      <w:r>
        <w:t>complete</w:t>
      </w:r>
      <w:proofErr w:type="spellEnd"/>
      <w:r>
        <w:t>(</w:t>
      </w:r>
      <w:proofErr w:type="gramEnd"/>
      <w:r>
        <w:t xml:space="preserve">)), durée ≤ 5 h, distance parcourue ≤ 5 km, ≤ 10 observateurs, et fenêtre temporelle restreinte à la période de reproduction (1 juin – 31 juillet) sur les 10 dernières années (2016–2025). L’étape de </w:t>
      </w:r>
      <w:proofErr w:type="spellStart"/>
      <w:r>
        <w:t>zero-filling</w:t>
      </w:r>
      <w:proofErr w:type="spellEnd"/>
      <w:r>
        <w:t xml:space="preserve"> produit un jeu présence</w:t>
      </w:r>
      <w:r>
        <w:t>/absence à partir des checklists complètes ne mentionnant pas l’espèce.</w:t>
      </w:r>
    </w:p>
    <w:p w14:paraId="130A41EB" w14:textId="77777777" w:rsidR="00440DEA" w:rsidRDefault="001B58D7">
      <w:pPr>
        <w:pStyle w:val="Titre2"/>
      </w:pPr>
      <w:r>
        <w:t>3.3 Variables environnementales prévues</w:t>
      </w:r>
    </w:p>
    <w:p w14:paraId="130A41EC" w14:textId="77777777" w:rsidR="00440DEA" w:rsidRDefault="001B58D7">
      <w:pPr>
        <w:pStyle w:val="Paragraphedeliste"/>
        <w:numPr>
          <w:ilvl w:val="0"/>
          <w:numId w:val="2"/>
        </w:numPr>
        <w:spacing w:after="80" w:line="280" w:lineRule="auto"/>
        <w:jc w:val="both"/>
      </w:pPr>
      <w:r>
        <w:rPr>
          <w:b/>
          <w:bCs/>
        </w:rPr>
        <w:t xml:space="preserve">Climat : </w:t>
      </w:r>
      <w:r>
        <w:t>variables bioclimatiques CHELSA v2.1 (Bio1 — température moyenne annuelle, Bio5 — maximum estival, Bio12 — précipitations annuelles, Bio15 — saisonnalité des précipitations).</w:t>
      </w:r>
    </w:p>
    <w:p w14:paraId="130A41ED" w14:textId="77777777" w:rsidR="00440DEA" w:rsidRDefault="001B58D7">
      <w:pPr>
        <w:pStyle w:val="Paragraphedeliste"/>
        <w:numPr>
          <w:ilvl w:val="0"/>
          <w:numId w:val="2"/>
        </w:numPr>
        <w:spacing w:after="80" w:line="280" w:lineRule="auto"/>
        <w:jc w:val="both"/>
      </w:pPr>
      <w:r>
        <w:rPr>
          <w:b/>
          <w:bCs/>
        </w:rPr>
        <w:t xml:space="preserve">Couvert : </w:t>
      </w:r>
      <w:r>
        <w:t xml:space="preserve">ESA </w:t>
      </w:r>
      <w:proofErr w:type="spellStart"/>
      <w:r>
        <w:t>WorldCover</w:t>
      </w:r>
      <w:proofErr w:type="spellEnd"/>
      <w:r>
        <w:t xml:space="preserve"> 2021 (10 m) et carte écoforestière du MFFP (peuplements, classes de densité et de hauteur), agrégés en proportions sur des buffers de 250 m, 1 km et 5 km autour des points.</w:t>
      </w:r>
    </w:p>
    <w:p w14:paraId="130A41EE" w14:textId="77777777" w:rsidR="00440DEA" w:rsidRDefault="001B58D7">
      <w:pPr>
        <w:pStyle w:val="Paragraphedeliste"/>
        <w:numPr>
          <w:ilvl w:val="0"/>
          <w:numId w:val="2"/>
        </w:numPr>
        <w:spacing w:after="80" w:line="280" w:lineRule="auto"/>
        <w:jc w:val="both"/>
      </w:pPr>
      <w:r>
        <w:rPr>
          <w:b/>
          <w:bCs/>
        </w:rPr>
        <w:t xml:space="preserve">Topographie : </w:t>
      </w:r>
      <w:r>
        <w:t>MNT SRTM (altitude, pente, exposition, indice de rugosité topographique TRI).</w:t>
      </w:r>
    </w:p>
    <w:p w14:paraId="130A41EF" w14:textId="77777777" w:rsidR="00440DEA" w:rsidRDefault="001B58D7">
      <w:pPr>
        <w:pStyle w:val="Paragraphedeliste"/>
        <w:numPr>
          <w:ilvl w:val="0"/>
          <w:numId w:val="2"/>
        </w:numPr>
        <w:spacing w:after="80" w:line="280" w:lineRule="auto"/>
        <w:jc w:val="both"/>
      </w:pPr>
      <w:r>
        <w:rPr>
          <w:b/>
          <w:bCs/>
        </w:rPr>
        <w:lastRenderedPageBreak/>
        <w:t xml:space="preserve">Pression anthropique : </w:t>
      </w:r>
      <w:r>
        <w:t>densité de routes (Statistique Canada), distance au bâti, indice de luminosité nocturne (VIIRS).</w:t>
      </w:r>
    </w:p>
    <w:p w14:paraId="130A41F0" w14:textId="77777777" w:rsidR="00440DEA" w:rsidRDefault="001B58D7">
      <w:pPr>
        <w:pStyle w:val="Paragraphedeliste"/>
        <w:numPr>
          <w:ilvl w:val="0"/>
          <w:numId w:val="2"/>
        </w:numPr>
        <w:spacing w:after="80" w:line="280" w:lineRule="auto"/>
        <w:jc w:val="both"/>
      </w:pPr>
      <w:r>
        <w:rPr>
          <w:b/>
          <w:bCs/>
        </w:rPr>
        <w:t xml:space="preserve">Phénologie : </w:t>
      </w:r>
      <w:r>
        <w:t>NDVI Sentinel-2 estival moyen (proxy de productivité primaire).</w:t>
      </w:r>
    </w:p>
    <w:p w14:paraId="130A41F1" w14:textId="77777777" w:rsidR="00440DEA" w:rsidRDefault="001B58D7">
      <w:pPr>
        <w:spacing w:after="120" w:line="300" w:lineRule="auto"/>
        <w:jc w:val="both"/>
      </w:pPr>
      <w:r>
        <w:t>Une sélection finale sera appliquée après inspection des matrices de corrélation et du VIF (seuil &lt; 5). Les variables conservées devront satisfaire une justification écologique a priori et présenter un soutien suffisant (≥ 10 présences par variable retenue) pour éviter le surajustement.</w:t>
      </w:r>
    </w:p>
    <w:p w14:paraId="130A41F2" w14:textId="77777777" w:rsidR="00440DEA" w:rsidRDefault="001B58D7">
      <w:pPr>
        <w:pStyle w:val="Titre1"/>
        <w:spacing w:before="280"/>
      </w:pPr>
      <w:r>
        <w:t>4. Méthodes</w:t>
      </w:r>
    </w:p>
    <w:p w14:paraId="130A41F3" w14:textId="77777777" w:rsidR="00440DEA" w:rsidRDefault="001B58D7">
      <w:pPr>
        <w:spacing w:after="120" w:line="300" w:lineRule="auto"/>
        <w:jc w:val="both"/>
      </w:pPr>
      <w:r>
        <w:t>Deux pipelines de modélisation seront menés en parallèle sur le même jeu de données filtré et le même bloc de prédicteurs environnementaux, afin de permettre une comparaison directe.</w:t>
      </w:r>
    </w:p>
    <w:p w14:paraId="130A41F4" w14:textId="77777777" w:rsidR="00440DEA" w:rsidRDefault="001B58D7">
      <w:pPr>
        <w:pStyle w:val="Titre2"/>
      </w:pPr>
      <w:r>
        <w:t>4.1 Pipeline A — Modèle d’</w:t>
      </w:r>
      <w:proofErr w:type="spellStart"/>
      <w:r>
        <w:t>occupancy</w:t>
      </w:r>
      <w:proofErr w:type="spellEnd"/>
      <w:r>
        <w:t xml:space="preserve"> à site unique</w:t>
      </w:r>
    </w:p>
    <w:p w14:paraId="130A41F5" w14:textId="77777777" w:rsidR="00440DEA" w:rsidRDefault="001B58D7">
      <w:pPr>
        <w:spacing w:after="120" w:line="300" w:lineRule="auto"/>
        <w:jc w:val="both"/>
      </w:pPr>
      <w:r>
        <w:t xml:space="preserve">Approche développée par </w:t>
      </w:r>
      <w:proofErr w:type="spellStart"/>
      <w:r>
        <w:t>MacKenzie</w:t>
      </w:r>
      <w:proofErr w:type="spellEnd"/>
      <w:r>
        <w:t xml:space="preserve"> et al. (2002) et opérationnalisée pour </w:t>
      </w:r>
      <w:proofErr w:type="spellStart"/>
      <w:r>
        <w:t>eBird</w:t>
      </w:r>
      <w:proofErr w:type="spellEnd"/>
      <w:r>
        <w:t xml:space="preserve"> par Johnston et al. (2021). L’unité analytique est une grille spatiale de 3 km de côté ; chaque cellule visitée par au moins une checklist complète constitue un site. Les checklists multiples d’un même site dans une fenêtre fermée (≤ 14 jours) servent de visites répétées et alimentent l’estimation de la probabilité de détection p. Les </w:t>
      </w:r>
      <w:proofErr w:type="spellStart"/>
      <w:r>
        <w:t>covariables</w:t>
      </w:r>
      <w:proofErr w:type="spellEnd"/>
      <w:r>
        <w:t xml:space="preserve"> de détection incluent la durée de la checklist, la distance parcourue, le nombre d’observateurs, le temps éc</w:t>
      </w:r>
      <w:r>
        <w:t xml:space="preserve">oulé depuis le coucher du soleil et la fraction lunaire éclairée. Les </w:t>
      </w:r>
      <w:proofErr w:type="spellStart"/>
      <w:r>
        <w:t>covariables</w:t>
      </w:r>
      <w:proofErr w:type="spellEnd"/>
      <w:r>
        <w:t xml:space="preserve"> d’occupation sont les variables environnementales décrites à la section 3.3. L’ajustement est réalisé via la fonction </w:t>
      </w:r>
      <w:proofErr w:type="spellStart"/>
      <w:proofErr w:type="gramStart"/>
      <w:r>
        <w:t>occu</w:t>
      </w:r>
      <w:proofErr w:type="spellEnd"/>
      <w:r>
        <w:t>(</w:t>
      </w:r>
      <w:proofErr w:type="gramEnd"/>
      <w:r>
        <w:t xml:space="preserve">) du package </w:t>
      </w:r>
      <w:proofErr w:type="spellStart"/>
      <w:r>
        <w:t>unmarked</w:t>
      </w:r>
      <w:proofErr w:type="spellEnd"/>
      <w:r>
        <w:t xml:space="preserve"> (Fiske &amp; Chandler 2011).</w:t>
      </w:r>
    </w:p>
    <w:p w14:paraId="130A41F6" w14:textId="77777777" w:rsidR="00440DEA" w:rsidRDefault="001B58D7">
      <w:pPr>
        <w:pStyle w:val="Titre2"/>
      </w:pPr>
      <w:r>
        <w:t>4.2 Pipeline B — Modèle de taux de rencontre par Random Forest</w:t>
      </w:r>
    </w:p>
    <w:p w14:paraId="130A41F7" w14:textId="77777777" w:rsidR="00440DEA" w:rsidRDefault="001B58D7">
      <w:pPr>
        <w:spacing w:after="120" w:line="300" w:lineRule="auto"/>
        <w:jc w:val="both"/>
      </w:pPr>
      <w:r>
        <w:t xml:space="preserve">Approche de référence du Best Practices Guide </w:t>
      </w:r>
      <w:proofErr w:type="spellStart"/>
      <w:r>
        <w:t>eBird</w:t>
      </w:r>
      <w:proofErr w:type="spellEnd"/>
      <w:r>
        <w:t xml:space="preserve"> (</w:t>
      </w:r>
      <w:proofErr w:type="spellStart"/>
      <w:r>
        <w:t>Strimas</w:t>
      </w:r>
      <w:proofErr w:type="spellEnd"/>
      <w:r>
        <w:t xml:space="preserve">-Mackey et al. 2023). La réponse est la présence/absence binaire issue du </w:t>
      </w:r>
      <w:proofErr w:type="spellStart"/>
      <w:r>
        <w:t>zero-filling</w:t>
      </w:r>
      <w:proofErr w:type="spellEnd"/>
      <w:r>
        <w:t xml:space="preserve">. Un Random Forest balancé est ajusté avec le package ranger (Wright &amp; Ziegler 2017) en sous-échantillonnant la classe majoritaire à chaque arbre pour gérer le déséquilibre extrême. Les </w:t>
      </w:r>
      <w:proofErr w:type="spellStart"/>
      <w:r>
        <w:t>covariables</w:t>
      </w:r>
      <w:proofErr w:type="spellEnd"/>
      <w:r>
        <w:t xml:space="preserve"> d’effort (durée, distance, </w:t>
      </w:r>
      <w:proofErr w:type="spellStart"/>
      <w:r>
        <w:t>observers</w:t>
      </w:r>
      <w:proofErr w:type="spellEnd"/>
      <w:r>
        <w:t>, heure, jour de l’année) sont incluses comme prédicteurs auxiliaires ; lors de la prédiction spatiale, elles sont fixées à des valeurs typiques (médianes des checklists conservé</w:t>
      </w:r>
      <w:r>
        <w:t>es) afin de générer une carte standardisée. L’importance des variables (permutation) et les courbes de réponse partielles fournissent l’interprétation écologique.</w:t>
      </w:r>
    </w:p>
    <w:p w14:paraId="130A41F8" w14:textId="77777777" w:rsidR="00440DEA" w:rsidRDefault="001B58D7">
      <w:pPr>
        <w:pStyle w:val="Titre2"/>
      </w:pPr>
      <w:r>
        <w:t>4.3 Comparaison méthodologique</w:t>
      </w:r>
    </w:p>
    <w:p w14:paraId="130A41F9" w14:textId="77777777" w:rsidR="00440DEA" w:rsidRDefault="001B58D7">
      <w:pPr>
        <w:spacing w:after="120" w:line="300" w:lineRule="auto"/>
        <w:jc w:val="both"/>
      </w:pPr>
      <w:r>
        <w:t xml:space="preserve">Le tableau 1 synthétise les forces, faiblesses et biais attendus des deux approches. La comparaison empirique portera sur trois axes : (i) performance prédictive sur les mêmes </w:t>
      </w:r>
      <w:proofErr w:type="spellStart"/>
      <w:r>
        <w:t>folds</w:t>
      </w:r>
      <w:proofErr w:type="spellEnd"/>
      <w:r>
        <w:t xml:space="preserve"> spatiaux, (ii) cohérence spatiale des cartes (corrélation pixel à pixel, désaccords régionaux), (iii) interprétation écologique des variables importantes.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440DEA" w14:paraId="130A41FD" w14:textId="77777777">
        <w:tblPrEx>
          <w:tblCellMar>
            <w:top w:w="0" w:type="dxa"/>
            <w:bottom w:w="0" w:type="dxa"/>
          </w:tblCellMar>
        </w:tblPrEx>
        <w:trPr>
          <w:tblHeader/>
        </w:trPr>
        <w:tc>
          <w:tcPr>
            <w:tcW w:w="216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130A41FA" w14:textId="77777777" w:rsidR="00440DEA" w:rsidRDefault="001B58D7">
            <w:r>
              <w:rPr>
                <w:b/>
                <w:bCs/>
                <w:sz w:val="18"/>
                <w:szCs w:val="18"/>
              </w:rPr>
              <w:t>Dimension</w:t>
            </w:r>
          </w:p>
        </w:tc>
        <w:tc>
          <w:tcPr>
            <w:tcW w:w="36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130A41FB" w14:textId="77777777" w:rsidR="00440DEA" w:rsidRDefault="001B58D7">
            <w:proofErr w:type="spellStart"/>
            <w:r>
              <w:rPr>
                <w:b/>
                <w:bCs/>
                <w:sz w:val="18"/>
                <w:szCs w:val="18"/>
              </w:rPr>
              <w:t>Occupancy</w:t>
            </w:r>
            <w:proofErr w:type="spellEnd"/>
            <w:r>
              <w:rPr>
                <w:b/>
                <w:bCs/>
                <w:sz w:val="18"/>
                <w:szCs w:val="18"/>
              </w:rPr>
              <w:t xml:space="preserve"> (</w:t>
            </w:r>
            <w:proofErr w:type="spellStart"/>
            <w:r>
              <w:rPr>
                <w:b/>
                <w:bCs/>
                <w:sz w:val="18"/>
                <w:szCs w:val="18"/>
              </w:rPr>
              <w:t>unmarked</w:t>
            </w:r>
            <w:proofErr w:type="spellEnd"/>
            <w:r>
              <w:rPr>
                <w:b/>
                <w:bCs/>
                <w:sz w:val="18"/>
                <w:szCs w:val="18"/>
              </w:rPr>
              <w:t>)</w:t>
            </w:r>
          </w:p>
        </w:tc>
        <w:tc>
          <w:tcPr>
            <w:tcW w:w="36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130A41FC" w14:textId="77777777" w:rsidR="00440DEA" w:rsidRDefault="001B58D7">
            <w:proofErr w:type="spellStart"/>
            <w:r>
              <w:rPr>
                <w:b/>
                <w:bCs/>
                <w:sz w:val="18"/>
                <w:szCs w:val="18"/>
              </w:rPr>
              <w:t>Encounter</w:t>
            </w:r>
            <w:proofErr w:type="spellEnd"/>
            <w:r>
              <w:rPr>
                <w:b/>
                <w:bCs/>
                <w:sz w:val="18"/>
                <w:szCs w:val="18"/>
              </w:rPr>
              <w:t xml:space="preserve"> rate (Random Forest)</w:t>
            </w:r>
          </w:p>
        </w:tc>
      </w:tr>
      <w:tr w:rsidR="00440DEA" w14:paraId="130A420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1FE" w14:textId="77777777" w:rsidR="00440DEA" w:rsidRDefault="001B58D7">
            <w:r>
              <w:rPr>
                <w:sz w:val="18"/>
                <w:szCs w:val="18"/>
              </w:rPr>
              <w:t>Cadre statistique</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1FF" w14:textId="77777777" w:rsidR="00440DEA" w:rsidRDefault="001B58D7">
            <w:r>
              <w:rPr>
                <w:sz w:val="18"/>
                <w:szCs w:val="18"/>
              </w:rPr>
              <w:t xml:space="preserve">Modèle hiérarchique </w:t>
            </w:r>
            <w:proofErr w:type="spellStart"/>
            <w:r>
              <w:rPr>
                <w:sz w:val="18"/>
                <w:szCs w:val="18"/>
              </w:rPr>
              <w:t>fréquentiste</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0" w14:textId="77777777" w:rsidR="00440DEA" w:rsidRDefault="001B58D7">
            <w:r>
              <w:rPr>
                <w:sz w:val="18"/>
                <w:szCs w:val="18"/>
              </w:rPr>
              <w:t>Apprentissage ensemble (bagging d’arbres)</w:t>
            </w:r>
          </w:p>
        </w:tc>
      </w:tr>
      <w:tr w:rsidR="00440DEA" w14:paraId="130A420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2" w14:textId="77777777" w:rsidR="00440DEA" w:rsidRDefault="001B58D7">
            <w:r>
              <w:rPr>
                <w:sz w:val="18"/>
                <w:szCs w:val="18"/>
              </w:rPr>
              <w:lastRenderedPageBreak/>
              <w:t>Sortie principale</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3" w14:textId="77777777" w:rsidR="00440DEA" w:rsidRDefault="001B58D7">
            <w:r>
              <w:rPr>
                <w:sz w:val="18"/>
                <w:szCs w:val="18"/>
              </w:rPr>
              <w:t>Probabilité d’occupation ψ (corrigée de la détection)</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4" w14:textId="77777777" w:rsidR="00440DEA" w:rsidRDefault="001B58D7">
            <w:r>
              <w:rPr>
                <w:sz w:val="18"/>
                <w:szCs w:val="18"/>
              </w:rPr>
              <w:t>Taux de rencontre (probabilité d’observation)</w:t>
            </w:r>
          </w:p>
        </w:tc>
      </w:tr>
      <w:tr w:rsidR="00440DEA" w14:paraId="130A4209"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6" w14:textId="77777777" w:rsidR="00440DEA" w:rsidRDefault="001B58D7">
            <w:r>
              <w:rPr>
                <w:sz w:val="18"/>
                <w:szCs w:val="18"/>
              </w:rPr>
              <w:t>Détection</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7" w14:textId="77777777" w:rsidR="00440DEA" w:rsidRDefault="001B58D7">
            <w:r>
              <w:rPr>
                <w:sz w:val="18"/>
                <w:szCs w:val="18"/>
              </w:rPr>
              <w:t>Modélisée explicitement via p</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8" w14:textId="77777777" w:rsidR="00440DEA" w:rsidRDefault="001B58D7">
            <w:proofErr w:type="spellStart"/>
            <w:r>
              <w:rPr>
                <w:sz w:val="18"/>
                <w:szCs w:val="18"/>
              </w:rPr>
              <w:t>Covariables</w:t>
            </w:r>
            <w:proofErr w:type="spellEnd"/>
            <w:r>
              <w:rPr>
                <w:sz w:val="18"/>
                <w:szCs w:val="18"/>
              </w:rPr>
              <w:t xml:space="preserve"> d’effort en prédicteurs, non séparée</w:t>
            </w:r>
          </w:p>
        </w:tc>
      </w:tr>
      <w:tr w:rsidR="00440DEA" w14:paraId="130A420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A" w14:textId="77777777" w:rsidR="00440DEA" w:rsidRDefault="001B58D7">
            <w:r>
              <w:rPr>
                <w:sz w:val="18"/>
                <w:szCs w:val="18"/>
              </w:rPr>
              <w:t>Hypothèses fortes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B" w14:textId="77777777" w:rsidR="00440DEA" w:rsidRDefault="001B58D7">
            <w:r>
              <w:rPr>
                <w:sz w:val="18"/>
                <w:szCs w:val="18"/>
              </w:rPr>
              <w:t>Fermeture de la population entre visites ; indépendance des visites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C" w14:textId="77777777" w:rsidR="00440DEA" w:rsidRDefault="001B58D7">
            <w:r>
              <w:rPr>
                <w:sz w:val="18"/>
                <w:szCs w:val="18"/>
              </w:rPr>
              <w:t xml:space="preserve">Aucune sur la forme fonctionnelle ; </w:t>
            </w:r>
            <w:proofErr w:type="spellStart"/>
            <w:r>
              <w:rPr>
                <w:sz w:val="18"/>
                <w:szCs w:val="18"/>
              </w:rPr>
              <w:t>iid</w:t>
            </w:r>
            <w:proofErr w:type="spellEnd"/>
            <w:r>
              <w:rPr>
                <w:sz w:val="18"/>
                <w:szCs w:val="18"/>
              </w:rPr>
              <w:t xml:space="preserve"> des observations</w:t>
            </w:r>
          </w:p>
        </w:tc>
      </w:tr>
      <w:tr w:rsidR="00440DEA" w14:paraId="130A421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E" w14:textId="77777777" w:rsidR="00440DEA" w:rsidRDefault="001B58D7">
            <w:r>
              <w:rPr>
                <w:sz w:val="18"/>
                <w:szCs w:val="18"/>
              </w:rPr>
              <w:t>Interprétation</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0F" w14:textId="77777777" w:rsidR="00440DEA" w:rsidRDefault="001B58D7">
            <w:r>
              <w:rPr>
                <w:sz w:val="18"/>
                <w:szCs w:val="18"/>
              </w:rPr>
              <w:t xml:space="preserve">Coefficients ± IC, courbes de réponse </w:t>
            </w:r>
            <w:proofErr w:type="spellStart"/>
            <w:r>
              <w:rPr>
                <w:sz w:val="18"/>
                <w:szCs w:val="18"/>
              </w:rPr>
              <w:t>logit</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0" w14:textId="77777777" w:rsidR="00440DEA" w:rsidRDefault="001B58D7">
            <w:r>
              <w:rPr>
                <w:sz w:val="18"/>
                <w:szCs w:val="18"/>
              </w:rPr>
              <w:t>Importance par permutation, courbes partielles, SHAP</w:t>
            </w:r>
          </w:p>
        </w:tc>
      </w:tr>
      <w:tr w:rsidR="00440DEA" w14:paraId="130A421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2" w14:textId="77777777" w:rsidR="00440DEA" w:rsidRDefault="001B58D7">
            <w:r>
              <w:rPr>
                <w:sz w:val="18"/>
                <w:szCs w:val="18"/>
              </w:rPr>
              <w:t>Biais attendus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3" w14:textId="77777777" w:rsidR="00440DEA" w:rsidRDefault="001B58D7">
            <w:r>
              <w:rPr>
                <w:sz w:val="18"/>
                <w:szCs w:val="18"/>
              </w:rPr>
              <w:t>Sensible à la définition site/visite ; rejet de données si peu de revisites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4" w14:textId="77777777" w:rsidR="00440DEA" w:rsidRDefault="001B58D7">
            <w:r>
              <w:rPr>
                <w:sz w:val="18"/>
                <w:szCs w:val="18"/>
              </w:rPr>
              <w:t>Sensible au déséquilibre de classes et au biais spatial d’effort</w:t>
            </w:r>
          </w:p>
        </w:tc>
      </w:tr>
      <w:tr w:rsidR="00440DEA" w14:paraId="130A4219"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6" w14:textId="77777777" w:rsidR="00440DEA" w:rsidRDefault="001B58D7">
            <w:r>
              <w:rPr>
                <w:sz w:val="18"/>
                <w:szCs w:val="18"/>
              </w:rPr>
              <w:t>Force principale</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7" w14:textId="77777777" w:rsidR="00440DEA" w:rsidRDefault="001B58D7">
            <w:r>
              <w:rPr>
                <w:sz w:val="18"/>
                <w:szCs w:val="18"/>
              </w:rPr>
              <w:t>Inférence biologique propre, séparation des processus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8" w14:textId="77777777" w:rsidR="00440DEA" w:rsidRDefault="001B58D7">
            <w:r>
              <w:rPr>
                <w:sz w:val="18"/>
                <w:szCs w:val="18"/>
              </w:rPr>
              <w:t>Capture les non-linéarités et interactions sans spécification a priori</w:t>
            </w:r>
          </w:p>
        </w:tc>
      </w:tr>
      <w:tr w:rsidR="00440DEA" w14:paraId="130A421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A" w14:textId="77777777" w:rsidR="00440DEA" w:rsidRDefault="001B58D7">
            <w:r>
              <w:rPr>
                <w:sz w:val="18"/>
                <w:szCs w:val="18"/>
              </w:rPr>
              <w:t>Faiblesse principale</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B" w14:textId="77777777" w:rsidR="00440DEA" w:rsidRDefault="001B58D7">
            <w:r>
              <w:rPr>
                <w:sz w:val="18"/>
                <w:szCs w:val="18"/>
              </w:rPr>
              <w:t>Contraintes structurelles fortes sur les données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C" w14:textId="77777777" w:rsidR="00440DEA" w:rsidRDefault="001B58D7">
            <w:r>
              <w:rPr>
                <w:sz w:val="18"/>
                <w:szCs w:val="18"/>
              </w:rPr>
              <w:t>Modèle boîte noire relativement opaque</w:t>
            </w:r>
          </w:p>
        </w:tc>
      </w:tr>
      <w:tr w:rsidR="00440DEA" w14:paraId="130A4221"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E" w14:textId="77777777" w:rsidR="00440DEA" w:rsidRDefault="001B58D7">
            <w:r>
              <w:rPr>
                <w:sz w:val="18"/>
                <w:szCs w:val="18"/>
              </w:rPr>
              <w:t>Référence clé</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1F" w14:textId="77777777" w:rsidR="00440DEA" w:rsidRDefault="001B58D7">
            <w:proofErr w:type="spellStart"/>
            <w:r>
              <w:rPr>
                <w:sz w:val="18"/>
                <w:szCs w:val="18"/>
              </w:rPr>
              <w:t>MacKenzie</w:t>
            </w:r>
            <w:proofErr w:type="spellEnd"/>
            <w:r>
              <w:rPr>
                <w:sz w:val="18"/>
                <w:szCs w:val="18"/>
              </w:rPr>
              <w:t xml:space="preserve"> et al. 2002 ; Kéry &amp; Royle 2016</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A4220" w14:textId="77777777" w:rsidR="00440DEA" w:rsidRDefault="001B58D7">
            <w:r>
              <w:rPr>
                <w:sz w:val="18"/>
                <w:szCs w:val="18"/>
              </w:rPr>
              <w:t xml:space="preserve">Johnston et al. 2021 ; </w:t>
            </w:r>
            <w:proofErr w:type="spellStart"/>
            <w:r>
              <w:rPr>
                <w:sz w:val="18"/>
                <w:szCs w:val="18"/>
              </w:rPr>
              <w:t>Strimas</w:t>
            </w:r>
            <w:proofErr w:type="spellEnd"/>
            <w:r>
              <w:rPr>
                <w:sz w:val="18"/>
                <w:szCs w:val="18"/>
              </w:rPr>
              <w:t>-Mackey et al. 2023</w:t>
            </w:r>
          </w:p>
        </w:tc>
      </w:tr>
    </w:tbl>
    <w:p w14:paraId="130A4222" w14:textId="77777777" w:rsidR="00440DEA" w:rsidRDefault="001B58D7">
      <w:pPr>
        <w:spacing w:before="120" w:after="200"/>
      </w:pPr>
      <w:r>
        <w:rPr>
          <w:b/>
          <w:bCs/>
          <w:sz w:val="18"/>
          <w:szCs w:val="18"/>
        </w:rPr>
        <w:t xml:space="preserve">Tableau 1. </w:t>
      </w:r>
      <w:r>
        <w:rPr>
          <w:i/>
          <w:iCs/>
          <w:sz w:val="18"/>
          <w:szCs w:val="18"/>
        </w:rPr>
        <w:t>Comparaison synthétique des deux pipelines de modélisation envisagés.</w:t>
      </w:r>
    </w:p>
    <w:p w14:paraId="130A4223" w14:textId="77777777" w:rsidR="00440DEA" w:rsidRDefault="001B58D7">
      <w:pPr>
        <w:pStyle w:val="Titre1"/>
        <w:spacing w:before="280"/>
      </w:pPr>
      <w:r>
        <w:t>5. Évaluation et validation</w:t>
      </w:r>
    </w:p>
    <w:p w14:paraId="130A4224" w14:textId="77777777" w:rsidR="00440DEA" w:rsidRDefault="001B58D7">
      <w:pPr>
        <w:spacing w:after="120" w:line="300" w:lineRule="auto"/>
        <w:jc w:val="both"/>
      </w:pPr>
      <w:r>
        <w:t xml:space="preserve">La validation spatiale croisée est une étape impérative compte tenu de l’autocorrélation spatiale forte des données </w:t>
      </w:r>
      <w:proofErr w:type="spellStart"/>
      <w:r>
        <w:t>eBird</w:t>
      </w:r>
      <w:proofErr w:type="spellEnd"/>
      <w:r>
        <w:t xml:space="preserve">. Le partitionnement est réalisé avec le package </w:t>
      </w:r>
      <w:proofErr w:type="spellStart"/>
      <w:r>
        <w:t>blockCV</w:t>
      </w:r>
      <w:proofErr w:type="spellEnd"/>
      <w:r>
        <w:t xml:space="preserve"> (</w:t>
      </w:r>
      <w:proofErr w:type="spellStart"/>
      <w:r>
        <w:t>Valavi</w:t>
      </w:r>
      <w:proofErr w:type="spellEnd"/>
      <w:r>
        <w:t xml:space="preserve"> et al. 2019) en blocs spatiaux dont la taille dépasse la portée du </w:t>
      </w:r>
      <w:proofErr w:type="spellStart"/>
      <w:r>
        <w:t>variogramme</w:t>
      </w:r>
      <w:proofErr w:type="spellEnd"/>
      <w:r>
        <w:t xml:space="preserve"> empirique de la réponse, ce qui garantit l’indépendance entre </w:t>
      </w:r>
      <w:proofErr w:type="spellStart"/>
      <w:r>
        <w:t>folds</w:t>
      </w:r>
      <w:proofErr w:type="spellEnd"/>
      <w:r>
        <w:t xml:space="preserve"> d’entraînement et de test. Cinq </w:t>
      </w:r>
      <w:proofErr w:type="spellStart"/>
      <w:r>
        <w:t>folds</w:t>
      </w:r>
      <w:proofErr w:type="spellEnd"/>
      <w:r>
        <w:t xml:space="preserve"> sont utilisés.</w:t>
      </w:r>
    </w:p>
    <w:p w14:paraId="130A4225" w14:textId="77777777" w:rsidR="00440DEA" w:rsidRDefault="001B58D7">
      <w:pPr>
        <w:spacing w:after="120" w:line="300" w:lineRule="auto"/>
        <w:jc w:val="both"/>
      </w:pPr>
      <w:r>
        <w:t xml:space="preserve">Quatre métriques complémentaires sont retenues : l’AUC-ROC (discrimination seuil-indépendante), le True Skill </w:t>
      </w:r>
      <w:proofErr w:type="spellStart"/>
      <w:r>
        <w:t>Statistic</w:t>
      </w:r>
      <w:proofErr w:type="spellEnd"/>
      <w:r>
        <w:t xml:space="preserve"> (discrimination seuil-dépendante au seuil maximisant la somme sensibilité + spécificité), l’indice de Boyce continu (calibration sur données présence-seule, particulièrement pertinent pour ce projet) et une courbe de calibration probabilité prédite vs fréquence observée. Une comparaison statistique des AUC des deux modèles sera réalisée par le test de DeLong.</w:t>
      </w:r>
    </w:p>
    <w:p w14:paraId="130A4226" w14:textId="77777777" w:rsidR="00440DEA" w:rsidRDefault="001B58D7">
      <w:pPr>
        <w:spacing w:after="120" w:line="300" w:lineRule="auto"/>
        <w:jc w:val="both"/>
      </w:pPr>
      <w:r>
        <w:t xml:space="preserve">L’incertitude des prédictions est quantifiée par </w:t>
      </w:r>
      <w:proofErr w:type="spellStart"/>
      <w:r>
        <w:t>bootstrap</w:t>
      </w:r>
      <w:proofErr w:type="spellEnd"/>
      <w:r>
        <w:t xml:space="preserve"> (100 </w:t>
      </w:r>
      <w:proofErr w:type="spellStart"/>
      <w:r>
        <w:t>réplicats</w:t>
      </w:r>
      <w:proofErr w:type="spellEnd"/>
      <w:r>
        <w:t>). Une carte MESS (</w:t>
      </w:r>
      <w:proofErr w:type="spellStart"/>
      <w:r>
        <w:t>Multivariate</w:t>
      </w:r>
      <w:proofErr w:type="spellEnd"/>
      <w:r>
        <w:t xml:space="preserve"> </w:t>
      </w:r>
      <w:proofErr w:type="spellStart"/>
      <w:r>
        <w:t>Environmental</w:t>
      </w:r>
      <w:proofErr w:type="spellEnd"/>
      <w:r>
        <w:t xml:space="preserve"> </w:t>
      </w:r>
      <w:proofErr w:type="spellStart"/>
      <w:r>
        <w:t>Similarity</w:t>
      </w:r>
      <w:proofErr w:type="spellEnd"/>
      <w:r>
        <w:t xml:space="preserve"> Surface ; Elith, Kearney &amp; Phillips 2010) est produite pour identifier les pixels en extrapolation hors du domaine environnemental d’entraînement, dont les prédictions doivent être interprétées avec prudence.</w:t>
      </w:r>
    </w:p>
    <w:p w14:paraId="130A4227" w14:textId="77777777" w:rsidR="00440DEA" w:rsidRDefault="001B58D7">
      <w:pPr>
        <w:pStyle w:val="Titre1"/>
        <w:spacing w:before="280"/>
      </w:pPr>
      <w:r>
        <w:t>6. Plan de travail et calendrier</w:t>
      </w:r>
    </w:p>
    <w:p w14:paraId="130A4228" w14:textId="77777777" w:rsidR="00440DEA" w:rsidRDefault="001B58D7">
      <w:pPr>
        <w:pStyle w:val="Titre2"/>
      </w:pPr>
      <w:r>
        <w:t>6.1 Phases du projet</w:t>
      </w:r>
    </w:p>
    <w:p w14:paraId="130A4229" w14:textId="77777777" w:rsidR="00440DEA" w:rsidRDefault="001B58D7">
      <w:pPr>
        <w:pStyle w:val="Paragraphedeliste"/>
        <w:numPr>
          <w:ilvl w:val="0"/>
          <w:numId w:val="2"/>
        </w:numPr>
        <w:spacing w:after="80" w:line="280" w:lineRule="auto"/>
        <w:jc w:val="both"/>
      </w:pPr>
      <w:r>
        <w:rPr>
          <w:b/>
          <w:bCs/>
        </w:rPr>
        <w:t xml:space="preserve">Phase 1 — Cadrage et extraction </w:t>
      </w:r>
      <w:r>
        <w:rPr>
          <w:i/>
          <w:iCs/>
        </w:rPr>
        <w:t xml:space="preserve">(juin 2026, en cours). </w:t>
      </w:r>
      <w:r>
        <w:t>Définition de la question, validation du protocole, téléchargement de l’EBD et extraction par espèce.</w:t>
      </w:r>
    </w:p>
    <w:p w14:paraId="130A422A" w14:textId="77777777" w:rsidR="00440DEA" w:rsidRDefault="001B58D7">
      <w:pPr>
        <w:pStyle w:val="Paragraphedeliste"/>
        <w:numPr>
          <w:ilvl w:val="0"/>
          <w:numId w:val="2"/>
        </w:numPr>
        <w:spacing w:after="80" w:line="280" w:lineRule="auto"/>
        <w:jc w:val="both"/>
      </w:pPr>
      <w:r>
        <w:rPr>
          <w:b/>
          <w:bCs/>
        </w:rPr>
        <w:lastRenderedPageBreak/>
        <w:t xml:space="preserve">Phase 2 — Préparation des </w:t>
      </w:r>
      <w:proofErr w:type="spellStart"/>
      <w:r>
        <w:rPr>
          <w:b/>
          <w:bCs/>
        </w:rPr>
        <w:t>covariables</w:t>
      </w:r>
      <w:proofErr w:type="spellEnd"/>
      <w:r>
        <w:rPr>
          <w:b/>
          <w:bCs/>
        </w:rPr>
        <w:t xml:space="preserve"> </w:t>
      </w:r>
      <w:r>
        <w:rPr>
          <w:i/>
          <w:iCs/>
        </w:rPr>
        <w:t xml:space="preserve">(fin juin – mi-juillet). </w:t>
      </w:r>
      <w:r>
        <w:t xml:space="preserve">Téléchargement et pré-traitement des rasters environnementaux ; extraction des valeurs aux points </w:t>
      </w:r>
      <w:proofErr w:type="spellStart"/>
      <w:r>
        <w:t>eBird</w:t>
      </w:r>
      <w:proofErr w:type="spellEnd"/>
      <w:r>
        <w:t xml:space="preserve"> ; sélection des variables (corrélations, VIF).</w:t>
      </w:r>
    </w:p>
    <w:p w14:paraId="130A422B" w14:textId="77777777" w:rsidR="00440DEA" w:rsidRDefault="001B58D7">
      <w:pPr>
        <w:pStyle w:val="Paragraphedeliste"/>
        <w:numPr>
          <w:ilvl w:val="0"/>
          <w:numId w:val="2"/>
        </w:numPr>
        <w:spacing w:after="80" w:line="280" w:lineRule="auto"/>
        <w:jc w:val="both"/>
      </w:pPr>
      <w:r>
        <w:rPr>
          <w:b/>
          <w:bCs/>
        </w:rPr>
        <w:t xml:space="preserve">Phase 3 — Modélisation </w:t>
      </w:r>
      <w:proofErr w:type="spellStart"/>
      <w:r>
        <w:rPr>
          <w:b/>
          <w:bCs/>
        </w:rPr>
        <w:t>occupancy</w:t>
      </w:r>
      <w:proofErr w:type="spellEnd"/>
      <w:r>
        <w:rPr>
          <w:b/>
          <w:bCs/>
        </w:rPr>
        <w:t xml:space="preserve"> </w:t>
      </w:r>
      <w:r>
        <w:rPr>
          <w:i/>
          <w:iCs/>
        </w:rPr>
        <w:t xml:space="preserve">(deuxième moitié de juillet). </w:t>
      </w:r>
      <w:r>
        <w:t xml:space="preserve">Construction de la grille de sites, ajustement avec </w:t>
      </w:r>
      <w:proofErr w:type="spellStart"/>
      <w:r>
        <w:t>unmarked</w:t>
      </w:r>
      <w:proofErr w:type="spellEnd"/>
      <w:r>
        <w:t>, sélection de modèles AIC, validation spatiale, prédiction.</w:t>
      </w:r>
    </w:p>
    <w:p w14:paraId="130A422C" w14:textId="77777777" w:rsidR="00440DEA" w:rsidRDefault="001B58D7">
      <w:pPr>
        <w:pStyle w:val="Paragraphedeliste"/>
        <w:numPr>
          <w:ilvl w:val="0"/>
          <w:numId w:val="2"/>
        </w:numPr>
        <w:spacing w:after="80" w:line="280" w:lineRule="auto"/>
        <w:jc w:val="both"/>
      </w:pPr>
      <w:r>
        <w:rPr>
          <w:b/>
          <w:bCs/>
        </w:rPr>
        <w:t xml:space="preserve">Phase 4 — Modélisation Random Forest </w:t>
      </w:r>
      <w:r>
        <w:rPr>
          <w:i/>
          <w:iCs/>
        </w:rPr>
        <w:t xml:space="preserve">(début août). </w:t>
      </w:r>
      <w:r>
        <w:t>Ajustement balancé avec ranger, tuning des hyperparamètres, validation spatiale, prédiction.</w:t>
      </w:r>
    </w:p>
    <w:p w14:paraId="130A422D" w14:textId="77777777" w:rsidR="00440DEA" w:rsidRDefault="001B58D7">
      <w:pPr>
        <w:pStyle w:val="Paragraphedeliste"/>
        <w:numPr>
          <w:ilvl w:val="0"/>
          <w:numId w:val="2"/>
        </w:numPr>
        <w:spacing w:after="80" w:line="280" w:lineRule="auto"/>
        <w:jc w:val="both"/>
      </w:pPr>
      <w:r>
        <w:rPr>
          <w:b/>
          <w:bCs/>
        </w:rPr>
        <w:t xml:space="preserve">Phase 5 — Comparaison et cartographie </w:t>
      </w:r>
      <w:r>
        <w:rPr>
          <w:i/>
          <w:iCs/>
        </w:rPr>
        <w:t xml:space="preserve">(deuxième moitié d’août). </w:t>
      </w:r>
      <w:r>
        <w:t xml:space="preserve">Tableaux comparatifs, cartes (ψ, taux de rencontre, incertitude, MESS, divergence), </w:t>
      </w:r>
      <w:proofErr w:type="spellStart"/>
      <w:r>
        <w:t>bootstrap</w:t>
      </w:r>
      <w:proofErr w:type="spellEnd"/>
      <w:r>
        <w:t>.</w:t>
      </w:r>
    </w:p>
    <w:p w14:paraId="130A422E" w14:textId="77777777" w:rsidR="00440DEA" w:rsidRDefault="001B58D7">
      <w:pPr>
        <w:pStyle w:val="Paragraphedeliste"/>
        <w:numPr>
          <w:ilvl w:val="0"/>
          <w:numId w:val="2"/>
        </w:numPr>
        <w:spacing w:after="80" w:line="280" w:lineRule="auto"/>
        <w:jc w:val="both"/>
      </w:pPr>
      <w:r>
        <w:rPr>
          <w:b/>
          <w:bCs/>
        </w:rPr>
        <w:t xml:space="preserve">Phase 6 — Rédaction et présentation </w:t>
      </w:r>
      <w:r>
        <w:rPr>
          <w:i/>
          <w:iCs/>
        </w:rPr>
        <w:t xml:space="preserve">(septembre). </w:t>
      </w:r>
      <w:r>
        <w:t>Rapport final, présentation orale, dépôt code et données.</w:t>
      </w:r>
    </w:p>
    <w:p w14:paraId="130A422F" w14:textId="77777777" w:rsidR="00440DEA" w:rsidRDefault="001B58D7">
      <w:pPr>
        <w:pStyle w:val="Titre2"/>
      </w:pPr>
      <w:r>
        <w:t>6.2 Répartition pressentie (à valider en équipe)</w:t>
      </w:r>
    </w:p>
    <w:p w14:paraId="130A4230" w14:textId="77777777" w:rsidR="00440DEA" w:rsidRDefault="001B58D7">
      <w:pPr>
        <w:pStyle w:val="Paragraphedeliste"/>
        <w:numPr>
          <w:ilvl w:val="0"/>
          <w:numId w:val="2"/>
        </w:numPr>
        <w:spacing w:after="80" w:line="280" w:lineRule="auto"/>
        <w:jc w:val="both"/>
      </w:pPr>
      <w:r>
        <w:rPr>
          <w:b/>
          <w:bCs/>
        </w:rPr>
        <w:t xml:space="preserve">Données </w:t>
      </w:r>
      <w:proofErr w:type="spellStart"/>
      <w:r>
        <w:rPr>
          <w:b/>
          <w:bCs/>
        </w:rPr>
        <w:t>eBird</w:t>
      </w:r>
      <w:proofErr w:type="spellEnd"/>
      <w:r>
        <w:rPr>
          <w:b/>
          <w:bCs/>
        </w:rPr>
        <w:t xml:space="preserve">, extraction, exploration : </w:t>
      </w:r>
      <w:r>
        <w:t>Alexandre Chéné.</w:t>
      </w:r>
    </w:p>
    <w:p w14:paraId="130A4231" w14:textId="77777777" w:rsidR="00440DEA" w:rsidRDefault="001B58D7">
      <w:pPr>
        <w:pStyle w:val="Paragraphedeliste"/>
        <w:numPr>
          <w:ilvl w:val="0"/>
          <w:numId w:val="2"/>
        </w:numPr>
        <w:spacing w:after="80" w:line="280" w:lineRule="auto"/>
        <w:jc w:val="both"/>
      </w:pPr>
      <w:r>
        <w:rPr>
          <w:b/>
          <w:bCs/>
        </w:rPr>
        <w:t xml:space="preserve">Variables environnementales et pile raster : </w:t>
      </w:r>
      <w:r>
        <w:t>[membre 2].</w:t>
      </w:r>
    </w:p>
    <w:p w14:paraId="130A4232" w14:textId="77777777" w:rsidR="00440DEA" w:rsidRDefault="001B58D7">
      <w:pPr>
        <w:pStyle w:val="Paragraphedeliste"/>
        <w:numPr>
          <w:ilvl w:val="0"/>
          <w:numId w:val="2"/>
        </w:numPr>
        <w:spacing w:after="80" w:line="280" w:lineRule="auto"/>
        <w:jc w:val="both"/>
      </w:pPr>
      <w:r>
        <w:rPr>
          <w:b/>
          <w:bCs/>
        </w:rPr>
        <w:t xml:space="preserve">Modélisation </w:t>
      </w:r>
      <w:proofErr w:type="spellStart"/>
      <w:r>
        <w:rPr>
          <w:b/>
          <w:bCs/>
        </w:rPr>
        <w:t>occupancy</w:t>
      </w:r>
      <w:proofErr w:type="spellEnd"/>
      <w:r>
        <w:rPr>
          <w:b/>
          <w:bCs/>
        </w:rPr>
        <w:t xml:space="preserve"> (</w:t>
      </w:r>
      <w:proofErr w:type="spellStart"/>
      <w:r>
        <w:rPr>
          <w:b/>
          <w:bCs/>
        </w:rPr>
        <w:t>unmarked</w:t>
      </w:r>
      <w:proofErr w:type="spellEnd"/>
      <w:r>
        <w:rPr>
          <w:b/>
          <w:bCs/>
        </w:rPr>
        <w:t xml:space="preserve">) : </w:t>
      </w:r>
      <w:r>
        <w:t>[membre 3].</w:t>
      </w:r>
    </w:p>
    <w:p w14:paraId="130A4233" w14:textId="77777777" w:rsidR="00440DEA" w:rsidRDefault="001B58D7">
      <w:pPr>
        <w:pStyle w:val="Paragraphedeliste"/>
        <w:numPr>
          <w:ilvl w:val="0"/>
          <w:numId w:val="2"/>
        </w:numPr>
        <w:spacing w:after="80" w:line="280" w:lineRule="auto"/>
        <w:jc w:val="both"/>
      </w:pPr>
      <w:r>
        <w:rPr>
          <w:b/>
          <w:bCs/>
        </w:rPr>
        <w:t xml:space="preserve">Modélisation Random Forest (ranger) : </w:t>
      </w:r>
      <w:r>
        <w:t>[membre 4].</w:t>
      </w:r>
    </w:p>
    <w:p w14:paraId="130A4234" w14:textId="77777777" w:rsidR="00440DEA" w:rsidRDefault="001B58D7">
      <w:pPr>
        <w:pStyle w:val="Paragraphedeliste"/>
        <w:numPr>
          <w:ilvl w:val="0"/>
          <w:numId w:val="2"/>
        </w:numPr>
        <w:spacing w:after="80" w:line="280" w:lineRule="auto"/>
        <w:jc w:val="both"/>
      </w:pPr>
      <w:r>
        <w:rPr>
          <w:b/>
          <w:bCs/>
        </w:rPr>
        <w:t xml:space="preserve">Validation, comparaison, cartographie finale : </w:t>
      </w:r>
      <w:r>
        <w:t>partagé.</w:t>
      </w:r>
    </w:p>
    <w:p w14:paraId="130A4235" w14:textId="0A4523B2" w:rsidR="00440DEA" w:rsidRDefault="001B58D7">
      <w:pPr>
        <w:pStyle w:val="Paragraphedeliste"/>
        <w:numPr>
          <w:ilvl w:val="0"/>
          <w:numId w:val="2"/>
        </w:numPr>
        <w:spacing w:after="80" w:line="280" w:lineRule="auto"/>
        <w:jc w:val="both"/>
      </w:pPr>
      <w:r>
        <w:rPr>
          <w:b/>
          <w:bCs/>
        </w:rPr>
        <w:t xml:space="preserve">Rédaction du rapport : </w:t>
      </w:r>
      <w:r>
        <w:t>partagé</w:t>
      </w:r>
      <w:r w:rsidR="00445C5E">
        <w:t>.</w:t>
      </w:r>
    </w:p>
    <w:p w14:paraId="130A4236" w14:textId="77777777" w:rsidR="00440DEA" w:rsidRDefault="001B58D7">
      <w:pPr>
        <w:pStyle w:val="Titre2"/>
      </w:pPr>
      <w:r>
        <w:t>6.3 Livrables</w:t>
      </w:r>
    </w:p>
    <w:p w14:paraId="130A4237" w14:textId="77777777" w:rsidR="00440DEA" w:rsidRDefault="001B58D7">
      <w:pPr>
        <w:pStyle w:val="Paragraphedeliste"/>
        <w:numPr>
          <w:ilvl w:val="0"/>
          <w:numId w:val="2"/>
        </w:numPr>
        <w:spacing w:after="80" w:line="280" w:lineRule="auto"/>
        <w:jc w:val="both"/>
      </w:pPr>
      <w:r>
        <w:t>Projet R reproductible (</w:t>
      </w:r>
      <w:proofErr w:type="spellStart"/>
      <w:r>
        <w:t>renv</w:t>
      </w:r>
      <w:proofErr w:type="spellEnd"/>
      <w:r>
        <w:t>, GitHub) avec scripts numérotés.</w:t>
      </w:r>
    </w:p>
    <w:p w14:paraId="130A4238" w14:textId="77777777" w:rsidR="00440DEA" w:rsidRDefault="001B58D7">
      <w:pPr>
        <w:pStyle w:val="Paragraphedeliste"/>
        <w:numPr>
          <w:ilvl w:val="0"/>
          <w:numId w:val="2"/>
        </w:numPr>
        <w:spacing w:after="80" w:line="280" w:lineRule="auto"/>
        <w:jc w:val="both"/>
      </w:pPr>
      <w:r>
        <w:t xml:space="preserve">Trois cartes </w:t>
      </w:r>
      <w:proofErr w:type="spellStart"/>
      <w:r>
        <w:t>GeoTIFF</w:t>
      </w:r>
      <w:proofErr w:type="spellEnd"/>
      <w:r>
        <w:t xml:space="preserve"> : probabilité d’occupation (</w:t>
      </w:r>
      <w:proofErr w:type="spellStart"/>
      <w:r>
        <w:t>occupancy</w:t>
      </w:r>
      <w:proofErr w:type="spellEnd"/>
      <w:r>
        <w:t>), taux de rencontre (RF), incertitude par pixel.</w:t>
      </w:r>
    </w:p>
    <w:p w14:paraId="130A4239" w14:textId="77777777" w:rsidR="00440DEA" w:rsidRDefault="001B58D7">
      <w:pPr>
        <w:pStyle w:val="Paragraphedeliste"/>
        <w:numPr>
          <w:ilvl w:val="0"/>
          <w:numId w:val="2"/>
        </w:numPr>
        <w:spacing w:after="80" w:line="280" w:lineRule="auto"/>
        <w:jc w:val="both"/>
      </w:pPr>
      <w:r>
        <w:t>Carte de divergence entre les deux modèles, carte MESS.</w:t>
      </w:r>
    </w:p>
    <w:p w14:paraId="130A423C" w14:textId="77777777" w:rsidR="00440DEA" w:rsidRDefault="001B58D7">
      <w:pPr>
        <w:pStyle w:val="Titre1"/>
        <w:spacing w:before="280"/>
      </w:pPr>
      <w:r>
        <w:t>7. Risques et plans de mitigation</w:t>
      </w:r>
    </w:p>
    <w:p w14:paraId="130A423D" w14:textId="77777777" w:rsidR="00440DEA" w:rsidRDefault="001B58D7">
      <w:pPr>
        <w:pStyle w:val="Paragraphedeliste"/>
        <w:numPr>
          <w:ilvl w:val="0"/>
          <w:numId w:val="2"/>
        </w:numPr>
        <w:spacing w:after="80" w:line="280" w:lineRule="auto"/>
        <w:jc w:val="both"/>
      </w:pPr>
      <w:r>
        <w:rPr>
          <w:b/>
          <w:bCs/>
        </w:rPr>
        <w:t xml:space="preserve">Effectif de présences insuffisant. </w:t>
      </w:r>
      <w:r>
        <w:t>Si moins de ~150 détections après filtrage, élargir la fenêtre temporelle à 2010–2025 ou basculer vers la Paruline azurée (espèce de repli).</w:t>
      </w:r>
    </w:p>
    <w:p w14:paraId="130A423E" w14:textId="77777777" w:rsidR="00440DEA" w:rsidRDefault="001B58D7">
      <w:pPr>
        <w:pStyle w:val="Paragraphedeliste"/>
        <w:numPr>
          <w:ilvl w:val="0"/>
          <w:numId w:val="2"/>
        </w:numPr>
        <w:spacing w:after="80" w:line="280" w:lineRule="auto"/>
        <w:jc w:val="both"/>
      </w:pPr>
      <w:r>
        <w:rPr>
          <w:b/>
          <w:bCs/>
        </w:rPr>
        <w:t>Convergence numérique d’</w:t>
      </w:r>
      <w:proofErr w:type="spellStart"/>
      <w:r>
        <w:rPr>
          <w:b/>
          <w:bCs/>
        </w:rPr>
        <w:t>unmarked</w:t>
      </w:r>
      <w:proofErr w:type="spellEnd"/>
      <w:r>
        <w:rPr>
          <w:b/>
          <w:bCs/>
        </w:rPr>
        <w:t xml:space="preserve"> sur petit échantillon. </w:t>
      </w:r>
      <w:r>
        <w:t xml:space="preserve">Plan B : modèle bayésien équivalent via le package </w:t>
      </w:r>
      <w:proofErr w:type="spellStart"/>
      <w:r>
        <w:t>ubms</w:t>
      </w:r>
      <w:proofErr w:type="spellEnd"/>
      <w:r>
        <w:t xml:space="preserve"> (Stan).</w:t>
      </w:r>
    </w:p>
    <w:p w14:paraId="130A423F" w14:textId="77777777" w:rsidR="00440DEA" w:rsidRDefault="001B58D7">
      <w:pPr>
        <w:pStyle w:val="Paragraphedeliste"/>
        <w:numPr>
          <w:ilvl w:val="0"/>
          <w:numId w:val="2"/>
        </w:numPr>
        <w:spacing w:after="80" w:line="280" w:lineRule="auto"/>
        <w:jc w:val="both"/>
      </w:pPr>
      <w:r>
        <w:rPr>
          <w:b/>
          <w:bCs/>
        </w:rPr>
        <w:t xml:space="preserve">Temps de calcul prohibitif sur Quebec entier. </w:t>
      </w:r>
      <w:r>
        <w:t xml:space="preserve">Mitigation : restreindre l’aire prédictive aux écozones où l’espèce est plausible, ou paralléliser via future + </w:t>
      </w:r>
      <w:proofErr w:type="spellStart"/>
      <w:r>
        <w:t>furrr</w:t>
      </w:r>
      <w:proofErr w:type="spellEnd"/>
      <w:r>
        <w:t>.</w:t>
      </w:r>
    </w:p>
    <w:p w14:paraId="130A4240" w14:textId="77777777" w:rsidR="00440DEA" w:rsidRDefault="001B58D7">
      <w:pPr>
        <w:pStyle w:val="Paragraphedeliste"/>
        <w:numPr>
          <w:ilvl w:val="0"/>
          <w:numId w:val="2"/>
        </w:numPr>
        <w:spacing w:after="80" w:line="280" w:lineRule="auto"/>
        <w:jc w:val="both"/>
      </w:pPr>
      <w:r>
        <w:rPr>
          <w:b/>
          <w:bCs/>
        </w:rPr>
        <w:t xml:space="preserve">Encodage Unicode des chemins </w:t>
      </w:r>
      <w:proofErr w:type="spellStart"/>
      <w:r>
        <w:rPr>
          <w:b/>
          <w:bCs/>
        </w:rPr>
        <w:t>macOS</w:t>
      </w:r>
      <w:proofErr w:type="spellEnd"/>
      <w:r>
        <w:rPr>
          <w:b/>
          <w:bCs/>
        </w:rPr>
        <w:t xml:space="preserve">. </w:t>
      </w:r>
      <w:r>
        <w:t>Bug identifié lors de l’extraction (</w:t>
      </w:r>
      <w:proofErr w:type="spellStart"/>
      <w:r>
        <w:t>auk_filter</w:t>
      </w:r>
      <w:proofErr w:type="spellEnd"/>
      <w:r>
        <w:t xml:space="preserve"> / </w:t>
      </w:r>
      <w:proofErr w:type="spellStart"/>
      <w:r>
        <w:t>auk_zerofill</w:t>
      </w:r>
      <w:proofErr w:type="spellEnd"/>
      <w:r>
        <w:t xml:space="preserve"> incompatibles avec accent dans le chemin) ; convention équipe : aucun caractère accentué dans les dossiers de données R.</w:t>
      </w:r>
    </w:p>
    <w:p w14:paraId="130A4241" w14:textId="77777777" w:rsidR="00440DEA" w:rsidRDefault="001B58D7">
      <w:pPr>
        <w:pStyle w:val="Titre1"/>
        <w:spacing w:before="280"/>
      </w:pPr>
      <w:r>
        <w:lastRenderedPageBreak/>
        <w:t>8. Références principales</w:t>
      </w:r>
    </w:p>
    <w:p w14:paraId="130A4242" w14:textId="77777777" w:rsidR="00440DEA" w:rsidRDefault="001B58D7">
      <w:pPr>
        <w:spacing w:after="80"/>
        <w:jc w:val="both"/>
      </w:pPr>
      <w:r>
        <w:t xml:space="preserve">COSEPAC. 2022. </w:t>
      </w:r>
    </w:p>
    <w:p w14:paraId="130A4243" w14:textId="77777777" w:rsidR="00440DEA" w:rsidRDefault="001B58D7">
      <w:pPr>
        <w:spacing w:after="120"/>
        <w:jc w:val="both"/>
      </w:pPr>
      <w:r>
        <w:rPr>
          <w:i/>
          <w:iCs/>
        </w:rPr>
        <w:t xml:space="preserve">Évaluation et rapport de situation du COSEPAC sur l’Engoulevent bois-pourri </w:t>
      </w:r>
      <w:proofErr w:type="spellStart"/>
      <w:r>
        <w:rPr>
          <w:i/>
          <w:iCs/>
        </w:rPr>
        <w:t>Antrostomus</w:t>
      </w:r>
      <w:proofErr w:type="spellEnd"/>
      <w:r>
        <w:rPr>
          <w:i/>
          <w:iCs/>
        </w:rPr>
        <w:t xml:space="preserve"> </w:t>
      </w:r>
      <w:proofErr w:type="spellStart"/>
      <w:r>
        <w:rPr>
          <w:i/>
          <w:iCs/>
        </w:rPr>
        <w:t>vociferus</w:t>
      </w:r>
      <w:proofErr w:type="spellEnd"/>
      <w:r>
        <w:rPr>
          <w:i/>
          <w:iCs/>
        </w:rPr>
        <w:t xml:space="preserve"> au Canada</w:t>
      </w:r>
      <w:r>
        <w:t>. Comité sur la situation des espèces en péril au Canada, Ottawa.</w:t>
      </w:r>
    </w:p>
    <w:p w14:paraId="130A4244" w14:textId="77777777" w:rsidR="00440DEA" w:rsidRDefault="001B58D7">
      <w:pPr>
        <w:spacing w:after="120"/>
        <w:jc w:val="both"/>
      </w:pPr>
      <w:r w:rsidRPr="00445C5E">
        <w:rPr>
          <w:lang w:val="en-CA"/>
        </w:rPr>
        <w:t xml:space="preserve">Elith, J., Kearney, M. &amp; Phillips, S. 2010. The art of modelling range-shifting species. </w:t>
      </w:r>
      <w:r>
        <w:rPr>
          <w:i/>
          <w:iCs/>
        </w:rPr>
        <w:t xml:space="preserve">Methods in </w:t>
      </w:r>
      <w:proofErr w:type="spellStart"/>
      <w:r>
        <w:rPr>
          <w:i/>
          <w:iCs/>
        </w:rPr>
        <w:t>Ecology</w:t>
      </w:r>
      <w:proofErr w:type="spellEnd"/>
      <w:r>
        <w:rPr>
          <w:i/>
          <w:iCs/>
        </w:rPr>
        <w:t xml:space="preserve"> and </w:t>
      </w:r>
      <w:proofErr w:type="spellStart"/>
      <w:r>
        <w:rPr>
          <w:i/>
          <w:iCs/>
        </w:rPr>
        <w:t>Evolution</w:t>
      </w:r>
      <w:proofErr w:type="spellEnd"/>
      <w:r>
        <w:t>, 1, 330–342.</w:t>
      </w:r>
    </w:p>
    <w:p w14:paraId="130A4245" w14:textId="77777777" w:rsidR="00440DEA" w:rsidRDefault="001B58D7">
      <w:pPr>
        <w:spacing w:after="120"/>
        <w:jc w:val="both"/>
      </w:pPr>
      <w:r>
        <w:t xml:space="preserve">Environnement et Changement climatique Canada. 2018. </w:t>
      </w:r>
      <w:r>
        <w:rPr>
          <w:i/>
          <w:iCs/>
        </w:rPr>
        <w:t>Programme de rétablissement de l’Engoulevent bois-pourri (</w:t>
      </w:r>
      <w:proofErr w:type="spellStart"/>
      <w:r>
        <w:rPr>
          <w:i/>
          <w:iCs/>
        </w:rPr>
        <w:t>Antrostomus</w:t>
      </w:r>
      <w:proofErr w:type="spellEnd"/>
      <w:r>
        <w:rPr>
          <w:i/>
          <w:iCs/>
        </w:rPr>
        <w:t xml:space="preserve"> </w:t>
      </w:r>
      <w:proofErr w:type="spellStart"/>
      <w:r>
        <w:rPr>
          <w:i/>
          <w:iCs/>
        </w:rPr>
        <w:t>vociferus</w:t>
      </w:r>
      <w:proofErr w:type="spellEnd"/>
      <w:r>
        <w:rPr>
          <w:i/>
          <w:iCs/>
        </w:rPr>
        <w:t>) au Canada</w:t>
      </w:r>
      <w:r>
        <w:t>. Série de Programmes de rétablissement de la Loi sur les espèces en péril, Ottawa.</w:t>
      </w:r>
    </w:p>
    <w:p w14:paraId="130A4246" w14:textId="77777777" w:rsidR="00440DEA" w:rsidRPr="00445C5E" w:rsidRDefault="001B58D7">
      <w:pPr>
        <w:spacing w:after="120"/>
        <w:jc w:val="both"/>
        <w:rPr>
          <w:lang w:val="en-CA"/>
        </w:rPr>
      </w:pPr>
      <w:r w:rsidRPr="00445C5E">
        <w:rPr>
          <w:lang w:val="en-CA"/>
        </w:rPr>
        <w:t xml:space="preserve">Fiske, I. &amp; Chandler, R. 2011. unmarked: An R package for fitting hierarchical models of wildlife occurrence and abundance. </w:t>
      </w:r>
      <w:r w:rsidRPr="00445C5E">
        <w:rPr>
          <w:i/>
          <w:iCs/>
          <w:lang w:val="en-CA"/>
        </w:rPr>
        <w:t>Journal of Statistical Software</w:t>
      </w:r>
      <w:r w:rsidRPr="00445C5E">
        <w:rPr>
          <w:lang w:val="en-CA"/>
        </w:rPr>
        <w:t>, 43, 1–23.</w:t>
      </w:r>
    </w:p>
    <w:p w14:paraId="130A4247" w14:textId="77777777" w:rsidR="00440DEA" w:rsidRPr="00445C5E" w:rsidRDefault="001B58D7">
      <w:pPr>
        <w:spacing w:after="120"/>
        <w:jc w:val="both"/>
        <w:rPr>
          <w:lang w:val="en-CA"/>
        </w:rPr>
      </w:pPr>
      <w:proofErr w:type="spellStart"/>
      <w:r w:rsidRPr="00445C5E">
        <w:rPr>
          <w:lang w:val="en-CA"/>
        </w:rPr>
        <w:t>Guisan</w:t>
      </w:r>
      <w:proofErr w:type="spellEnd"/>
      <w:r w:rsidRPr="00445C5E">
        <w:rPr>
          <w:lang w:val="en-CA"/>
        </w:rPr>
        <w:t xml:space="preserve">, A., </w:t>
      </w:r>
      <w:proofErr w:type="spellStart"/>
      <w:r w:rsidRPr="00445C5E">
        <w:rPr>
          <w:lang w:val="en-CA"/>
        </w:rPr>
        <w:t>Thuiller</w:t>
      </w:r>
      <w:proofErr w:type="spellEnd"/>
      <w:r w:rsidRPr="00445C5E">
        <w:rPr>
          <w:lang w:val="en-CA"/>
        </w:rPr>
        <w:t xml:space="preserve">, W. &amp; Zimmermann, N. E. 2017. </w:t>
      </w:r>
      <w:r w:rsidRPr="00445C5E">
        <w:rPr>
          <w:i/>
          <w:iCs/>
          <w:lang w:val="en-CA"/>
        </w:rPr>
        <w:t>Habitat Suitability and Distribution Models: With Applications in R</w:t>
      </w:r>
      <w:r w:rsidRPr="00445C5E">
        <w:rPr>
          <w:lang w:val="en-CA"/>
        </w:rPr>
        <w:t>. Cambridge University Press.</w:t>
      </w:r>
    </w:p>
    <w:p w14:paraId="130A4248" w14:textId="77777777" w:rsidR="00440DEA" w:rsidRPr="00445C5E" w:rsidRDefault="001B58D7">
      <w:pPr>
        <w:spacing w:after="120"/>
        <w:jc w:val="both"/>
        <w:rPr>
          <w:lang w:val="en-CA"/>
        </w:rPr>
      </w:pPr>
      <w:r w:rsidRPr="00445C5E">
        <w:rPr>
          <w:lang w:val="en-CA"/>
        </w:rPr>
        <w:t xml:space="preserve">Johnston, A., </w:t>
      </w:r>
      <w:proofErr w:type="spellStart"/>
      <w:r w:rsidRPr="00445C5E">
        <w:rPr>
          <w:lang w:val="en-CA"/>
        </w:rPr>
        <w:t>Hochachka</w:t>
      </w:r>
      <w:proofErr w:type="spellEnd"/>
      <w:r w:rsidRPr="00445C5E">
        <w:rPr>
          <w:lang w:val="en-CA"/>
        </w:rPr>
        <w:t xml:space="preserve">, W. M., </w:t>
      </w:r>
      <w:proofErr w:type="spellStart"/>
      <w:r w:rsidRPr="00445C5E">
        <w:rPr>
          <w:lang w:val="en-CA"/>
        </w:rPr>
        <w:t>Strimas</w:t>
      </w:r>
      <w:proofErr w:type="spellEnd"/>
      <w:r w:rsidRPr="00445C5E">
        <w:rPr>
          <w:lang w:val="en-CA"/>
        </w:rPr>
        <w:t xml:space="preserve">-Mackey, M. E., Ruiz-Gutierrez, V., Robinson, O. J., Miller, E. T., Auer, T., </w:t>
      </w:r>
      <w:proofErr w:type="spellStart"/>
      <w:r w:rsidRPr="00445C5E">
        <w:rPr>
          <w:lang w:val="en-CA"/>
        </w:rPr>
        <w:t>Kelling</w:t>
      </w:r>
      <w:proofErr w:type="spellEnd"/>
      <w:r w:rsidRPr="00445C5E">
        <w:rPr>
          <w:lang w:val="en-CA"/>
        </w:rPr>
        <w:t xml:space="preserve">, S. &amp; Fink, D. 2021. Analytical guidelines to increase the value of community science data: An example using eBird data to estimate species distributions. </w:t>
      </w:r>
      <w:r w:rsidRPr="00445C5E">
        <w:rPr>
          <w:i/>
          <w:iCs/>
          <w:lang w:val="en-CA"/>
        </w:rPr>
        <w:t>Diversity and Distributions</w:t>
      </w:r>
      <w:r w:rsidRPr="00445C5E">
        <w:rPr>
          <w:lang w:val="en-CA"/>
        </w:rPr>
        <w:t>, 27, 1265–1277. doi:10.1111/ddi.13271.</w:t>
      </w:r>
    </w:p>
    <w:p w14:paraId="130A4249" w14:textId="77777777" w:rsidR="00440DEA" w:rsidRPr="00445C5E" w:rsidRDefault="001B58D7">
      <w:pPr>
        <w:spacing w:after="120"/>
        <w:jc w:val="both"/>
        <w:rPr>
          <w:lang w:val="en-CA"/>
        </w:rPr>
      </w:pPr>
      <w:r w:rsidRPr="00445C5E">
        <w:rPr>
          <w:lang w:val="en-CA"/>
        </w:rPr>
        <w:t xml:space="preserve">Kéry, M. &amp; Royle, J. A. 2016. </w:t>
      </w:r>
      <w:r w:rsidRPr="00445C5E">
        <w:rPr>
          <w:i/>
          <w:iCs/>
          <w:lang w:val="en-CA"/>
        </w:rPr>
        <w:t>Applied Hierarchical Modeling in Ecology, Vol. 1: Prelude and Static Models</w:t>
      </w:r>
      <w:r w:rsidRPr="00445C5E">
        <w:rPr>
          <w:lang w:val="en-CA"/>
        </w:rPr>
        <w:t>. Academic Press.</w:t>
      </w:r>
    </w:p>
    <w:p w14:paraId="130A424A" w14:textId="77777777" w:rsidR="00440DEA" w:rsidRPr="00445C5E" w:rsidRDefault="001B58D7">
      <w:pPr>
        <w:spacing w:after="120"/>
        <w:jc w:val="both"/>
        <w:rPr>
          <w:lang w:val="en-CA"/>
        </w:rPr>
      </w:pPr>
      <w:r w:rsidRPr="00445C5E">
        <w:rPr>
          <w:lang w:val="en-CA"/>
        </w:rPr>
        <w:t xml:space="preserve">MacKenzie, D. I., Nichols, J. D., Lachman, G. B., Droege, S., Royle, J. A. &amp; </w:t>
      </w:r>
      <w:proofErr w:type="spellStart"/>
      <w:r w:rsidRPr="00445C5E">
        <w:rPr>
          <w:lang w:val="en-CA"/>
        </w:rPr>
        <w:t>Langtimm</w:t>
      </w:r>
      <w:proofErr w:type="spellEnd"/>
      <w:r w:rsidRPr="00445C5E">
        <w:rPr>
          <w:lang w:val="en-CA"/>
        </w:rPr>
        <w:t xml:space="preserve">, C. A. 2002. Estimating site occupancy rates when detection probabilities are less than one. </w:t>
      </w:r>
      <w:r w:rsidRPr="00445C5E">
        <w:rPr>
          <w:i/>
          <w:iCs/>
          <w:lang w:val="en-CA"/>
        </w:rPr>
        <w:t>Ecology</w:t>
      </w:r>
      <w:r w:rsidRPr="00445C5E">
        <w:rPr>
          <w:lang w:val="en-CA"/>
        </w:rPr>
        <w:t>, 83, 2248–2255.</w:t>
      </w:r>
    </w:p>
    <w:p w14:paraId="130A424B" w14:textId="77777777" w:rsidR="00440DEA" w:rsidRPr="00445C5E" w:rsidRDefault="001B58D7">
      <w:pPr>
        <w:spacing w:after="120"/>
        <w:jc w:val="both"/>
        <w:rPr>
          <w:lang w:val="en-CA"/>
        </w:rPr>
      </w:pPr>
      <w:proofErr w:type="spellStart"/>
      <w:r w:rsidRPr="00445C5E">
        <w:rPr>
          <w:lang w:val="en-CA"/>
        </w:rPr>
        <w:t>Strimas</w:t>
      </w:r>
      <w:proofErr w:type="spellEnd"/>
      <w:r w:rsidRPr="00445C5E">
        <w:rPr>
          <w:lang w:val="en-CA"/>
        </w:rPr>
        <w:t xml:space="preserve">-Mackey, M., </w:t>
      </w:r>
      <w:proofErr w:type="spellStart"/>
      <w:r w:rsidRPr="00445C5E">
        <w:rPr>
          <w:lang w:val="en-CA"/>
        </w:rPr>
        <w:t>Hochachka</w:t>
      </w:r>
      <w:proofErr w:type="spellEnd"/>
      <w:r w:rsidRPr="00445C5E">
        <w:rPr>
          <w:lang w:val="en-CA"/>
        </w:rPr>
        <w:t xml:space="preserve">, W. M., Ruiz-Gutierrez, V., Robinson, O. J., Miller, E. T., Auer, T., </w:t>
      </w:r>
      <w:proofErr w:type="spellStart"/>
      <w:r w:rsidRPr="00445C5E">
        <w:rPr>
          <w:lang w:val="en-CA"/>
        </w:rPr>
        <w:t>Kelling</w:t>
      </w:r>
      <w:proofErr w:type="spellEnd"/>
      <w:r w:rsidRPr="00445C5E">
        <w:rPr>
          <w:lang w:val="en-CA"/>
        </w:rPr>
        <w:t xml:space="preserve">, S., Fink, D. &amp; Johnston, A. 2023. </w:t>
      </w:r>
      <w:r w:rsidRPr="00445C5E">
        <w:rPr>
          <w:i/>
          <w:iCs/>
          <w:lang w:val="en-CA"/>
        </w:rPr>
        <w:t>Best Practices for Using eBird Data, Version 2.0</w:t>
      </w:r>
      <w:r w:rsidRPr="00445C5E">
        <w:rPr>
          <w:lang w:val="en-CA"/>
        </w:rPr>
        <w:t>. Cornell Lab of Ornithology, Ithaca. https://ebird.github.io/ebird-best-practices/</w:t>
      </w:r>
    </w:p>
    <w:p w14:paraId="130A424C" w14:textId="77777777" w:rsidR="00440DEA" w:rsidRPr="00445C5E" w:rsidRDefault="001B58D7">
      <w:pPr>
        <w:spacing w:after="120"/>
        <w:jc w:val="both"/>
        <w:rPr>
          <w:lang w:val="en-CA"/>
        </w:rPr>
      </w:pPr>
      <w:proofErr w:type="spellStart"/>
      <w:r w:rsidRPr="00445C5E">
        <w:rPr>
          <w:lang w:val="en-CA"/>
        </w:rPr>
        <w:t>Strimas</w:t>
      </w:r>
      <w:proofErr w:type="spellEnd"/>
      <w:r w:rsidRPr="00445C5E">
        <w:rPr>
          <w:lang w:val="en-CA"/>
        </w:rPr>
        <w:t xml:space="preserve">-Mackey, M., Miller, E. &amp; </w:t>
      </w:r>
      <w:proofErr w:type="spellStart"/>
      <w:r w:rsidRPr="00445C5E">
        <w:rPr>
          <w:lang w:val="en-CA"/>
        </w:rPr>
        <w:t>Hochachka</w:t>
      </w:r>
      <w:proofErr w:type="spellEnd"/>
      <w:r w:rsidRPr="00445C5E">
        <w:rPr>
          <w:lang w:val="en-CA"/>
        </w:rPr>
        <w:t xml:space="preserve">, W. 2018. </w:t>
      </w:r>
      <w:r w:rsidRPr="00445C5E">
        <w:rPr>
          <w:i/>
          <w:iCs/>
          <w:lang w:val="en-CA"/>
        </w:rPr>
        <w:t>auk: eBird Data Extraction and Processing with AWK</w:t>
      </w:r>
      <w:r w:rsidRPr="00445C5E">
        <w:rPr>
          <w:lang w:val="en-CA"/>
        </w:rPr>
        <w:t>. R package version 0.9.0.</w:t>
      </w:r>
    </w:p>
    <w:p w14:paraId="130A424D" w14:textId="77777777" w:rsidR="00440DEA" w:rsidRPr="00445C5E" w:rsidRDefault="001B58D7">
      <w:pPr>
        <w:spacing w:after="120"/>
        <w:jc w:val="both"/>
        <w:rPr>
          <w:lang w:val="en-CA"/>
        </w:rPr>
      </w:pPr>
      <w:proofErr w:type="spellStart"/>
      <w:r w:rsidRPr="00445C5E">
        <w:rPr>
          <w:lang w:val="en-CA"/>
        </w:rPr>
        <w:t>Valavi</w:t>
      </w:r>
      <w:proofErr w:type="spellEnd"/>
      <w:r w:rsidRPr="00445C5E">
        <w:rPr>
          <w:lang w:val="en-CA"/>
        </w:rPr>
        <w:t xml:space="preserve">, R., Elith, J., Lahoz-Monfort, J. J. &amp; </w:t>
      </w:r>
      <w:proofErr w:type="spellStart"/>
      <w:r w:rsidRPr="00445C5E">
        <w:rPr>
          <w:lang w:val="en-CA"/>
        </w:rPr>
        <w:t>Guillera-Arroita</w:t>
      </w:r>
      <w:proofErr w:type="spellEnd"/>
      <w:r w:rsidRPr="00445C5E">
        <w:rPr>
          <w:lang w:val="en-CA"/>
        </w:rPr>
        <w:t xml:space="preserve">, G. 2019. </w:t>
      </w:r>
      <w:proofErr w:type="spellStart"/>
      <w:r w:rsidRPr="00445C5E">
        <w:rPr>
          <w:lang w:val="en-CA"/>
        </w:rPr>
        <w:t>blockCV</w:t>
      </w:r>
      <w:proofErr w:type="spellEnd"/>
      <w:r w:rsidRPr="00445C5E">
        <w:rPr>
          <w:lang w:val="en-CA"/>
        </w:rPr>
        <w:t xml:space="preserve">: An R package for generating spatially or environmentally separated folds for k-fold cross-validation of species distribution models. </w:t>
      </w:r>
      <w:r w:rsidRPr="00445C5E">
        <w:rPr>
          <w:i/>
          <w:iCs/>
          <w:lang w:val="en-CA"/>
        </w:rPr>
        <w:t>Methods in Ecology and Evolution</w:t>
      </w:r>
      <w:r w:rsidRPr="00445C5E">
        <w:rPr>
          <w:lang w:val="en-CA"/>
        </w:rPr>
        <w:t>, 10, 225–232.</w:t>
      </w:r>
    </w:p>
    <w:p w14:paraId="130A424E" w14:textId="77777777" w:rsidR="00440DEA" w:rsidRPr="00445C5E" w:rsidRDefault="001B58D7">
      <w:pPr>
        <w:spacing w:after="120"/>
        <w:jc w:val="both"/>
        <w:rPr>
          <w:lang w:val="en-CA"/>
        </w:rPr>
      </w:pPr>
      <w:r w:rsidRPr="00445C5E">
        <w:rPr>
          <w:lang w:val="en-CA"/>
        </w:rPr>
        <w:t xml:space="preserve">Wilson, M. D. &amp; Watts, B. D. 2008. Landscape configuration effects on distribution and abundance of Whip-poor-wills. </w:t>
      </w:r>
      <w:r w:rsidRPr="00445C5E">
        <w:rPr>
          <w:i/>
          <w:iCs/>
          <w:lang w:val="en-CA"/>
        </w:rPr>
        <w:t>Wilson Journal of Ornithology</w:t>
      </w:r>
      <w:r w:rsidRPr="00445C5E">
        <w:rPr>
          <w:lang w:val="en-CA"/>
        </w:rPr>
        <w:t>, 120, 778–783.</w:t>
      </w:r>
    </w:p>
    <w:p w14:paraId="130A424F" w14:textId="77777777" w:rsidR="00440DEA" w:rsidRPr="00445C5E" w:rsidRDefault="001B58D7">
      <w:pPr>
        <w:spacing w:after="120"/>
        <w:jc w:val="both"/>
        <w:rPr>
          <w:lang w:val="en-CA"/>
        </w:rPr>
      </w:pPr>
      <w:r w:rsidRPr="00445C5E">
        <w:rPr>
          <w:lang w:val="en-CA"/>
        </w:rPr>
        <w:t xml:space="preserve">Wright, M. N. &amp; Ziegler, A. 2017. ranger: A fast implementation of random forests for high-dimensional data in C++ and R. </w:t>
      </w:r>
      <w:r w:rsidRPr="00445C5E">
        <w:rPr>
          <w:i/>
          <w:iCs/>
          <w:lang w:val="en-CA"/>
        </w:rPr>
        <w:t>Journal of Statistical Software</w:t>
      </w:r>
      <w:r w:rsidRPr="00445C5E">
        <w:rPr>
          <w:lang w:val="en-CA"/>
        </w:rPr>
        <w:t>, 77, 1–17.</w:t>
      </w:r>
    </w:p>
    <w:sectPr w:rsidR="00440DEA" w:rsidRPr="00445C5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7B2C" w14:textId="77777777" w:rsidR="001B58D7" w:rsidRDefault="001B58D7">
      <w:r>
        <w:separator/>
      </w:r>
    </w:p>
  </w:endnote>
  <w:endnote w:type="continuationSeparator" w:id="0">
    <w:p w14:paraId="37CA9A0A" w14:textId="77777777" w:rsidR="001B58D7" w:rsidRDefault="001B5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4251" w14:textId="758200E7" w:rsidR="00440DEA" w:rsidRDefault="001B58D7">
    <w:pPr>
      <w:tabs>
        <w:tab w:val="right" w:pos="9360"/>
      </w:tabs>
      <w:jc w:val="center"/>
    </w:pPr>
    <w:r>
      <w:rPr>
        <w:color w:val="888888"/>
        <w:sz w:val="18"/>
        <w:szCs w:val="18"/>
      </w:rPr>
      <w:t>Université de Sherbrooke — Juin 2026</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45C5E">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45C5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CD9B" w14:textId="77777777" w:rsidR="001B58D7" w:rsidRDefault="001B58D7">
      <w:r>
        <w:separator/>
      </w:r>
    </w:p>
  </w:footnote>
  <w:footnote w:type="continuationSeparator" w:id="0">
    <w:p w14:paraId="05965F41" w14:textId="77777777" w:rsidR="001B58D7" w:rsidRDefault="001B5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4250" w14:textId="77777777" w:rsidR="00440DEA" w:rsidRDefault="001B58D7">
    <w:pPr>
      <w:jc w:val="right"/>
    </w:pPr>
    <w:r>
      <w:rPr>
        <w:i/>
        <w:iCs/>
        <w:color w:val="888888"/>
        <w:sz w:val="18"/>
        <w:szCs w:val="18"/>
      </w:rPr>
      <w:t>GMQ405 — Cadrage projet — SDM Engoulevent bois-pourri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A75"/>
    <w:multiLevelType w:val="hybridMultilevel"/>
    <w:tmpl w:val="AB88F40C"/>
    <w:lvl w:ilvl="0" w:tplc="247AD49E">
      <w:start w:val="1"/>
      <w:numFmt w:val="bullet"/>
      <w:lvlText w:val="●"/>
      <w:lvlJc w:val="left"/>
      <w:pPr>
        <w:ind w:left="720" w:hanging="360"/>
      </w:pPr>
    </w:lvl>
    <w:lvl w:ilvl="1" w:tplc="431E4134">
      <w:start w:val="1"/>
      <w:numFmt w:val="bullet"/>
      <w:lvlText w:val="○"/>
      <w:lvlJc w:val="left"/>
      <w:pPr>
        <w:ind w:left="1440" w:hanging="360"/>
      </w:pPr>
    </w:lvl>
    <w:lvl w:ilvl="2" w:tplc="DAE4034C">
      <w:start w:val="1"/>
      <w:numFmt w:val="bullet"/>
      <w:lvlText w:val="■"/>
      <w:lvlJc w:val="left"/>
      <w:pPr>
        <w:ind w:left="2160" w:hanging="360"/>
      </w:pPr>
    </w:lvl>
    <w:lvl w:ilvl="3" w:tplc="F01E40C2">
      <w:start w:val="1"/>
      <w:numFmt w:val="bullet"/>
      <w:lvlText w:val="●"/>
      <w:lvlJc w:val="left"/>
      <w:pPr>
        <w:ind w:left="2880" w:hanging="360"/>
      </w:pPr>
    </w:lvl>
    <w:lvl w:ilvl="4" w:tplc="CB5E7BAC">
      <w:start w:val="1"/>
      <w:numFmt w:val="bullet"/>
      <w:lvlText w:val="○"/>
      <w:lvlJc w:val="left"/>
      <w:pPr>
        <w:ind w:left="3600" w:hanging="360"/>
      </w:pPr>
    </w:lvl>
    <w:lvl w:ilvl="5" w:tplc="D5C4539E">
      <w:start w:val="1"/>
      <w:numFmt w:val="bullet"/>
      <w:lvlText w:val="■"/>
      <w:lvlJc w:val="left"/>
      <w:pPr>
        <w:ind w:left="4320" w:hanging="360"/>
      </w:pPr>
    </w:lvl>
    <w:lvl w:ilvl="6" w:tplc="39AE2F4A">
      <w:start w:val="1"/>
      <w:numFmt w:val="bullet"/>
      <w:lvlText w:val="●"/>
      <w:lvlJc w:val="left"/>
      <w:pPr>
        <w:ind w:left="5040" w:hanging="360"/>
      </w:pPr>
    </w:lvl>
    <w:lvl w:ilvl="7" w:tplc="97A068EE">
      <w:start w:val="1"/>
      <w:numFmt w:val="bullet"/>
      <w:lvlText w:val="●"/>
      <w:lvlJc w:val="left"/>
      <w:pPr>
        <w:ind w:left="5760" w:hanging="360"/>
      </w:pPr>
    </w:lvl>
    <w:lvl w:ilvl="8" w:tplc="05DE8934">
      <w:start w:val="1"/>
      <w:numFmt w:val="bullet"/>
      <w:lvlText w:val="●"/>
      <w:lvlJc w:val="left"/>
      <w:pPr>
        <w:ind w:left="6480" w:hanging="360"/>
      </w:pPr>
    </w:lvl>
  </w:abstractNum>
  <w:abstractNum w:abstractNumId="1" w15:restartNumberingAfterBreak="0">
    <w:nsid w:val="4197020B"/>
    <w:multiLevelType w:val="hybridMultilevel"/>
    <w:tmpl w:val="366AED02"/>
    <w:lvl w:ilvl="0" w:tplc="2D2C79C2">
      <w:start w:val="1"/>
      <w:numFmt w:val="bullet"/>
      <w:lvlText w:val="•"/>
      <w:lvlJc w:val="left"/>
      <w:pPr>
        <w:ind w:left="540" w:hanging="270"/>
      </w:pPr>
    </w:lvl>
    <w:lvl w:ilvl="1" w:tplc="A41A1520">
      <w:numFmt w:val="decimal"/>
      <w:lvlText w:val=""/>
      <w:lvlJc w:val="left"/>
    </w:lvl>
    <w:lvl w:ilvl="2" w:tplc="B3508E70">
      <w:numFmt w:val="decimal"/>
      <w:lvlText w:val=""/>
      <w:lvlJc w:val="left"/>
    </w:lvl>
    <w:lvl w:ilvl="3" w:tplc="F8D21706">
      <w:numFmt w:val="decimal"/>
      <w:lvlText w:val=""/>
      <w:lvlJc w:val="left"/>
    </w:lvl>
    <w:lvl w:ilvl="4" w:tplc="B31CBD7C">
      <w:numFmt w:val="decimal"/>
      <w:lvlText w:val=""/>
      <w:lvlJc w:val="left"/>
    </w:lvl>
    <w:lvl w:ilvl="5" w:tplc="E1F289C6">
      <w:numFmt w:val="decimal"/>
      <w:lvlText w:val=""/>
      <w:lvlJc w:val="left"/>
    </w:lvl>
    <w:lvl w:ilvl="6" w:tplc="D60C43C8">
      <w:numFmt w:val="decimal"/>
      <w:lvlText w:val=""/>
      <w:lvlJc w:val="left"/>
    </w:lvl>
    <w:lvl w:ilvl="7" w:tplc="A20E7D44">
      <w:numFmt w:val="decimal"/>
      <w:lvlText w:val=""/>
      <w:lvlJc w:val="left"/>
    </w:lvl>
    <w:lvl w:ilvl="8" w:tplc="02EEBB40">
      <w:numFmt w:val="decimal"/>
      <w:lvlText w:val=""/>
      <w:lvlJc w:val="left"/>
    </w:lvl>
  </w:abstractNum>
  <w:num w:numId="1" w16cid:durableId="653219439">
    <w:abstractNumId w:val="0"/>
    <w:lvlOverride w:ilvl="0">
      <w:startOverride w:val="1"/>
    </w:lvlOverride>
  </w:num>
  <w:num w:numId="2" w16cid:durableId="15545796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EA"/>
    <w:rsid w:val="001B58D7"/>
    <w:rsid w:val="00440DEA"/>
    <w:rsid w:val="00445C5E"/>
    <w:rsid w:val="004C5AFD"/>
    <w:rsid w:val="00662A9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130A41CC"/>
  <w15:docId w15:val="{5C4075AC-F54F-CD47-9346-811255DC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A5F"/>
      <w:sz w:val="30"/>
      <w:szCs w:val="30"/>
    </w:rPr>
  </w:style>
  <w:style w:type="paragraph" w:styleId="Titre2">
    <w:name w:val="heading 2"/>
    <w:uiPriority w:val="9"/>
    <w:unhideWhenUsed/>
    <w:qFormat/>
    <w:pPr>
      <w:spacing w:before="200" w:after="100"/>
      <w:outlineLvl w:val="1"/>
    </w:pPr>
    <w:rPr>
      <w:b/>
      <w:bCs/>
      <w:color w:val="2E5B8C"/>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DAC466FFBDD743AB686B0FA5D41AB2" ma:contentTypeVersion="3" ma:contentTypeDescription="Crée un document." ma:contentTypeScope="" ma:versionID="d206c1c0c0e9b2f7990d17bc77609132">
  <xsd:schema xmlns:xsd="http://www.w3.org/2001/XMLSchema" xmlns:xs="http://www.w3.org/2001/XMLSchema" xmlns:p="http://schemas.microsoft.com/office/2006/metadata/properties" xmlns:ns2="b0cccc97-0f81-4b60-9fd6-67d4e1881ce3" targetNamespace="http://schemas.microsoft.com/office/2006/metadata/properties" ma:root="true" ma:fieldsID="06ffa643db839938d972cc2e99560131" ns2:_="">
    <xsd:import namespace="b0cccc97-0f81-4b60-9fd6-67d4e1881ce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ccc97-0f81-4b60-9fd6-67d4e1881c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084CC5-1CB8-4E51-A6E8-0E250BBDBA4E}">
  <ds:schemaRefs>
    <ds:schemaRef ds:uri="http://schemas.microsoft.com/sharepoint/v3/contenttype/forms"/>
  </ds:schemaRefs>
</ds:datastoreItem>
</file>

<file path=customXml/itemProps2.xml><?xml version="1.0" encoding="utf-8"?>
<ds:datastoreItem xmlns:ds="http://schemas.openxmlformats.org/officeDocument/2006/customXml" ds:itemID="{359BDD20-F86D-4A12-94B4-0423621A0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ccc97-0f81-4b60-9fd6-67d4e1881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2C87C-80D8-4644-9FF3-005B45AD4E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2441</Words>
  <Characters>13427</Characters>
  <Application>Microsoft Office Word</Application>
  <DocSecurity>0</DocSecurity>
  <Lines>111</Lines>
  <Paragraphs>31</Paragraphs>
  <ScaleCrop>false</ScaleCrop>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cadrage — SDM Engoulevent bois-pourri</dc:title>
  <dc:creator>Alexandre Chéné</dc:creator>
  <cp:lastModifiedBy>Alexandre Chéné</cp:lastModifiedBy>
  <cp:revision>4</cp:revision>
  <dcterms:created xsi:type="dcterms:W3CDTF">2026-06-08T14:59:00Z</dcterms:created>
  <dcterms:modified xsi:type="dcterms:W3CDTF">2026-06-08T15:03:00Z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0x01010082DAC466FFBDD743AB686B0FA5D41AB2</vt:lpwstr>
  </property>
</Properties>
</file>