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e3a5f"/>
          <w:sz w:val="48"/>
          <w:szCs w:val="48"/>
        </w:rPr>
        <w:t xml:space="preserve">PLAN DE PRUEBAS — FASE 1</w:t>
      </w:r>
    </w:p>
    <w:p>
      <w:pPr>
        <w:spacing w:after="600"/>
        <w:jc w:val="center"/>
      </w:pPr>
      <w:r>
        <w:rPr>
          <w:i/>
          <w:iCs/>
          <w:color w:val="2e6da4"/>
          <w:sz w:val="28"/>
          <w:szCs w:val="28"/>
        </w:rPr>
        <w:t xml:space="preserve">Propuesta Formal de Estrategia de Pruebas de Software</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5f" w:color="1e3a5f" w:val="solid"/>
          </w:tcPr>
          <w:p>
            <w:r>
              <w:rPr>
                <w:b/>
                <w:bCs/>
                <w:color w:val="FFFFFF"/>
                <w:sz w:val="22"/>
                <w:szCs w:val="22"/>
              </w:rPr>
              <w:t xml:space="preserve">Proyecto</w:t>
            </w:r>
          </w:p>
        </w:tc>
        <w:tc>
          <w:p>
            <w:r>
              <w:rPr>
                <w:sz w:val="22"/>
                <w:szCs w:val="22"/>
              </w:rPr>
              <w:t xml:space="preserve">CosasDeCasa — Plataforma de Conexión Hogar–Profesional</w:t>
            </w:r>
          </w:p>
        </w:tc>
      </w:tr>
      <w:tr>
        <w:tc>
          <w:tcPr>
            <w:shd w:fill="1e3a5f" w:color="1e3a5f" w:val="solid"/>
          </w:tcPr>
          <w:p>
            <w:r>
              <w:rPr>
                <w:b/>
                <w:bCs/>
                <w:color w:val="FFFFFF"/>
                <w:sz w:val="22"/>
                <w:szCs w:val="22"/>
              </w:rPr>
              <w:t xml:space="preserve">Equipo</w:t>
            </w:r>
          </w:p>
        </w:tc>
        <w:tc>
          <w:p>
            <w:r>
              <w:rPr>
                <w:sz w:val="22"/>
                <w:szCs w:val="22"/>
              </w:rPr>
              <w:t xml:space="preserve">Equipo 8</w:t>
            </w:r>
          </w:p>
        </w:tc>
      </w:tr>
      <w:tr>
        <w:tc>
          <w:tcPr>
            <w:shd w:fill="1e3a5f" w:color="1e3a5f" w:val="solid"/>
          </w:tcPr>
          <w:p>
            <w:r>
              <w:rPr>
                <w:b/>
                <w:bCs/>
                <w:color w:val="FFFFFF"/>
                <w:sz w:val="22"/>
                <w:szCs w:val="22"/>
              </w:rPr>
              <w:t xml:space="preserve">Integrantes</w:t>
            </w:r>
          </w:p>
        </w:tc>
        <w:tc>
          <w:p>
            <w:r>
              <w:rPr>
                <w:sz w:val="22"/>
                <w:szCs w:val="22"/>
              </w:rPr>
              <w:t xml:space="preserve">Agustín Parra / Luis Manuel Ramírez</w:t>
            </w:r>
          </w:p>
        </w:tc>
      </w:tr>
      <w:tr>
        <w:tc>
          <w:tcPr>
            <w:shd w:fill="1e3a5f" w:color="1e3a5f" w:val="solid"/>
          </w:tcPr>
          <w:p>
            <w:r>
              <w:rPr>
                <w:b/>
                <w:bCs/>
                <w:color w:val="FFFFFF"/>
                <w:sz w:val="22"/>
                <w:szCs w:val="22"/>
              </w:rPr>
              <w:t xml:space="preserve">Fecha</w:t>
            </w:r>
          </w:p>
        </w:tc>
        <w:tc>
          <w:p>
            <w:r>
              <w:rPr>
                <w:sz w:val="22"/>
                <w:szCs w:val="22"/>
              </w:rPr>
              <w:t xml:space="preserve">Agosto 2026</w:t>
            </w:r>
          </w:p>
        </w:tc>
      </w:tr>
      <w:tr>
        <w:tc>
          <w:tcPr>
            <w:shd w:fill="1e3a5f" w:color="1e3a5f" w:val="solid"/>
          </w:tcPr>
          <w:p>
            <w:r>
              <w:rPr>
                <w:b/>
                <w:bCs/>
                <w:color w:val="FFFFFF"/>
                <w:sz w:val="22"/>
                <w:szCs w:val="22"/>
              </w:rPr>
              <w:t xml:space="preserve">Versión</w:t>
            </w:r>
          </w:p>
        </w:tc>
        <w:tc>
          <w:p>
            <w:r>
              <w:rPr>
                <w:sz w:val="22"/>
                <w:szCs w:val="22"/>
              </w:rPr>
              <w:t xml:space="preserve">1.0</w:t>
            </w:r>
          </w:p>
        </w:tc>
      </w:tr>
      <w:tr>
        <w:tc>
          <w:tcPr>
            <w:shd w:fill="1e3a5f" w:color="1e3a5f" w:val="solid"/>
          </w:tcPr>
          <w:p>
            <w:r>
              <w:rPr>
                <w:b/>
                <w:bCs/>
                <w:color w:val="FFFFFF"/>
                <w:sz w:val="22"/>
                <w:szCs w:val="22"/>
              </w:rPr>
              <w:t xml:space="preserve">Estado</w:t>
            </w:r>
          </w:p>
        </w:tc>
        <w:tc>
          <w:p>
            <w:r>
              <w:rPr>
                <w:sz w:val="22"/>
                <w:szCs w:val="22"/>
              </w:rPr>
              <w:t xml:space="preserve">Propuesta — Pendiente de aprobación (Fase 1 · Pre-implementación)</w:t>
            </w:r>
          </w:p>
        </w:tc>
      </w:tr>
    </w:tbl>
    <w:p>
      <w:pPr>
        <w:spacing w:after="400"/>
      </w:pPr>
    </w:p>
    <w:p>
      <w:pPr>
        <w:pBdr>
          <w:bottom w:val="single" w:color="2e6da4" w:sz="6"/>
        </w:pBdr>
        <w:spacing w:after="120" w:before="320"/>
      </w:pPr>
      <w:r>
        <w:rPr>
          <w:b/>
          <w:bCs/>
          <w:color w:val="1e3a5f"/>
          <w:sz w:val="26"/>
          <w:szCs w:val="26"/>
        </w:rPr>
        <w:t xml:space="preserve">1. Introducción y Descripción del Sistema</w:t>
      </w:r>
    </w:p>
    <w:p>
      <w:pPr>
        <w:spacing w:after="80"/>
      </w:pPr>
      <w:r>
        <w:rPr>
          <w:sz w:val="22"/>
          <w:szCs w:val="22"/>
        </w:rPr>
        <w:t xml:space="preserve">CosasDeCasa es una aplicación web integral desarrollada con una arquitectura cliente-servidor. El Backend está construido en NestJS (Node.js), siguiendo principios de Arquitectura Limpia (Clean Architecture) con módulos de dominio claramente definidos (identity, match, search-review, messaging, billing). El Frontend está desarrollado en React con Vite, organizado en cuatro áreas funcionales principales (auth-profile, cliente, search-review, auditor). El almacenamiento de datos se realiza en PostgreSQL (Supabase), gestionado mediante Prisma ORM.</w:t>
      </w:r>
    </w:p>
    <w:p>
      <w:pPr>
        <w:spacing w:after="80"/>
      </w:pPr>
      <w:r>
        <w:rPr>
          <w:sz w:val="22"/>
          <w:szCs w:val="22"/>
        </w:rPr>
        <w:t xml:space="preserve">La plataforma conecta dos perfiles de usuario:</w:t>
      </w:r>
    </w:p>
    <w:p>
      <w:pPr>
        <w:spacing w:after="40"/>
      </w:pPr>
      <w:r>
        <w:rPr>
          <w:sz w:val="22"/>
          <w:szCs w:val="22"/>
        </w:rPr>
        <w:t xml:space="preserve">  •  Clientes: Buscan y contactan profesionales para trabajos del hogar.</w:t>
      </w:r>
    </w:p>
    <w:p>
      <w:pPr>
        <w:spacing w:after="40"/>
      </w:pPr>
      <w:r>
        <w:rPr>
          <w:sz w:val="22"/>
          <w:szCs w:val="22"/>
        </w:rPr>
        <w:t xml:space="preserve">  •  Profesionales: Crean y gestionan su perfil, portafolio, disponibilidad y etiquetas de habilidades.</w:t>
      </w:r>
    </w:p>
    <w:p>
      <w:pPr>
        <w:spacing w:after="160"/>
      </w:pPr>
      <w:r>
        <w:rPr>
          <w:sz w:val="22"/>
          <w:szCs w:val="22"/>
        </w:rPr>
        <w:t xml:space="preserve">  •  Auditores: Aprueban o rechazan perfiles y gestionan solicitudes de cancelación (derechos ARCO).</w:t>
      </w:r>
    </w:p>
    <w:p>
      <w:pPr>
        <w:pBdr>
          <w:bottom w:val="single" w:color="2e6da4" w:sz="6"/>
        </w:pBdr>
        <w:spacing w:after="120" w:before="320"/>
      </w:pPr>
      <w:r>
        <w:rPr>
          <w:b/>
          <w:bCs/>
          <w:color w:val="1e3a5f"/>
          <w:sz w:val="26"/>
          <w:szCs w:val="26"/>
        </w:rPr>
        <w:t xml:space="preserve">2. Justificación de la Selección de los Tipos de Prueba</w:t>
      </w:r>
    </w:p>
    <w:p>
      <w:pPr>
        <w:spacing w:after="80" w:before="240"/>
      </w:pPr>
      <w:r>
        <w:rPr>
          <w:b/>
          <w:bCs/>
          <w:color w:val="2e6da4"/>
          <w:sz w:val="24"/>
          <w:szCs w:val="24"/>
        </w:rPr>
        <w:t xml:space="preserve">2.1 Pruebas de Caja Negra</w:t>
      </w:r>
    </w:p>
    <w:p>
      <w:pPr>
        <w:spacing w:after="80"/>
      </w:pPr>
      <w:r>
        <w:rPr>
          <w:sz w:val="22"/>
          <w:szCs w:val="22"/>
        </w:rPr>
        <w:t xml:space="preserve">El sistema expone una API REST con múltiples endpoints de autenticación, registro, búsqueda y contacto. Las pruebas de Caja Negra son la metodología ideal para validar que cada endpoint se comporta estrictamente de acuerdo con los requerimientos funcionales definidos, sin importar cómo está implementado internamente. Permiten detectar fallos en la validación de entradas, manejo de errores HTTP y control de acceso, todos puntos críticos para la seguridad y corrección del sistema.</w:t>
      </w:r>
    </w:p>
    <w:p>
      <w:pPr>
        <w:spacing w:after="80" w:before="240"/>
      </w:pPr>
      <w:r>
        <w:rPr>
          <w:b/>
          <w:bCs/>
          <w:color w:val="2e6da4"/>
          <w:sz w:val="24"/>
          <w:szCs w:val="24"/>
        </w:rPr>
        <w:t xml:space="preserve">2.2 Pruebas de Rendimiento</w:t>
      </w:r>
    </w:p>
    <w:p>
      <w:pPr>
        <w:spacing w:after="80"/>
      </w:pPr>
      <w:r>
        <w:rPr>
          <w:sz w:val="22"/>
          <w:szCs w:val="22"/>
        </w:rPr>
        <w:t xml:space="preserve">La plataforma está orientada al público general (B2C). En escenarios reales, muchos clientes pueden hacer búsquedas simultáneas, lo que pone presión directa sobre el endpoint de búsqueda y la base de datos. Las pruebas de rendimiento son esenciales para garantizar que la API mantiene tiempos de respuesta aceptables bajo carga, evitar cuellos de botella y asegurar que el sistema no colapsa en momentos de alta demanda.</w:t>
      </w:r>
    </w:p>
    <w:p>
      <w:pPr>
        <w:spacing w:after="80" w:before="240"/>
      </w:pPr>
      <w:r>
        <w:rPr>
          <w:b/>
          <w:bCs/>
          <w:color w:val="2e6da4"/>
          <w:sz w:val="24"/>
          <w:szCs w:val="24"/>
        </w:rPr>
        <w:t xml:space="preserve">2.3 Pruebas de Usabilidad</w:t>
      </w:r>
    </w:p>
    <w:p>
      <w:pPr>
        <w:spacing w:after="80"/>
      </w:pPr>
      <w:r>
        <w:rPr>
          <w:sz w:val="22"/>
          <w:szCs w:val="22"/>
        </w:rPr>
        <w:t xml:space="preserve">CosasDeCasa está diseñada para usuarios no técnicos (dueños de casa, plomeros, electricistas). Una interfaz confusa impacta directamente la adopción. Las pruebas de usabilidad permiten verificar que los flujos más críticos (registro, login, búsqueda, solicitud de contacto) son intuitivos, accesibles y cumplen con las mejores prácticas de diseño web.</w:t>
      </w:r>
    </w:p>
    <w:p>
      <w:pPr>
        <w:pBdr>
          <w:bottom w:val="single" w:color="d6e4f0" w:sz="4"/>
        </w:pBdr>
        <w:spacing w:after="100" w:before="100"/>
      </w:pPr>
    </w:p>
    <w:p>
      <w:pPr>
        <w:pBdr>
          <w:bottom w:val="single" w:color="2e6da4" w:sz="6"/>
        </w:pBdr>
        <w:spacing w:after="120" w:before="320"/>
      </w:pPr>
      <w:r>
        <w:rPr>
          <w:b/>
          <w:bCs/>
          <w:color w:val="1e3a5f"/>
          <w:sz w:val="26"/>
          <w:szCs w:val="26"/>
        </w:rPr>
        <w:t xml:space="preserve">3. Catálogo de Pruebas Propuestas</w:t>
      </w:r>
    </w:p>
    <w:p>
      <w:pPr>
        <w:spacing w:after="80" w:before="240"/>
      </w:pPr>
      <w:r>
        <w:rPr>
          <w:b/>
          <w:bCs/>
          <w:color w:val="2e6da4"/>
          <w:sz w:val="24"/>
          <w:szCs w:val="24"/>
        </w:rPr>
        <w:t xml:space="preserve">3.1 PRUEBAS DE CAJA NEGRA (5 pruebas)</w:t>
      </w:r>
    </w:p>
    <w:p>
      <w:pPr>
        <w:spacing w:after="80"/>
      </w:pPr>
      <w:r>
        <w:rPr>
          <w:sz w:val="22"/>
          <w:szCs w:val="22"/>
        </w:rPr>
        <w:t xml:space="preserve">Herramienta propuesta: Postman (para API REST) y Playwright (para flujos E2E en el navegador). Se evalúa el sistema desde el exterior, enviando entradas y validando que las salidas sean las especificadas.</w:t>
      </w:r>
    </w:p>
    <w:p>
      <w:pPr>
        <w:spacing w:after="120"/>
      </w:pPr>
    </w:p>
    <w:p>
      <w:pPr>
        <w:shd w:fill="d6e4f0" w:color="d6e4f0" w:val="solid"/>
        <w:spacing w:after="60" w:before="200"/>
      </w:pPr>
      <w:r>
        <w:rPr>
          <w:b/>
          <w:bCs/>
          <w:color w:val="1e3a5f"/>
          <w:sz w:val="22"/>
          <w:szCs w:val="22"/>
        </w:rPr>
        <w:t xml:space="preserve">CB-01: Autenticación exitosa con credenciales válidas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AuthController.ts / Endpoint: POST /auth/login</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el sistema autentifica correctamente a un usuario registrado con correo y contraseña válidos y establece las cookies de sesión (access_token + refresh_token).</w:t>
            </w:r>
          </w:p>
        </w:tc>
      </w:tr>
      <w:tr>
        <w:tc>
          <w:tcPr>
            <w:tcW w:type="pct" w:w="22%"/>
            <w:shd w:fill="d6e4f0" w:color="d6e4f0" w:val="solid"/>
          </w:tcPr>
          <w:p>
            <w:r>
              <w:rPr>
                <w:b/>
                <w:bCs/>
                <w:color w:val="1e3a5f"/>
                <w:sz w:val="20"/>
                <w:szCs w:val="20"/>
              </w:rPr>
              <w:t xml:space="preserve">Precondiciones</w:t>
            </w:r>
          </w:p>
        </w:tc>
        <w:tc>
          <w:tcPr>
            <w:tcW w:type="pct" w:w="78%"/>
          </w:tcPr>
          <w:p>
            <w:r>
              <w:rPr>
                <w:sz w:val="20"/>
                <w:szCs w:val="20"/>
              </w:rPr>
              <w:t xml:space="preserve">Existe un usuario registrado con correo test@cosasdecasa.com y contraseña Test1234! en la base de datos.</w:t>
            </w:r>
          </w:p>
        </w:tc>
      </w:tr>
      <w:tr>
        <w:tc>
          <w:tcPr>
            <w:tcW w:type="pct" w:w="22%"/>
            <w:shd w:fill="d6e4f0" w:color="d6e4f0" w:val="solid"/>
          </w:tcPr>
          <w:p>
            <w:r>
              <w:rPr>
                <w:b/>
                <w:bCs/>
                <w:color w:val="1e3a5f"/>
                <w:sz w:val="20"/>
                <w:szCs w:val="20"/>
              </w:rPr>
              <w:t xml:space="preserve">Pasos</w:t>
            </w:r>
          </w:p>
        </w:tc>
        <w:tc>
          <w:tcPr>
            <w:tcW w:type="pct" w:w="78%"/>
          </w:tcPr>
          <w:p>
            <w:r>
              <w:rPr>
                <w:sz w:val="20"/>
                <w:szCs w:val="20"/>
              </w:rPr>
              <w:t xml:space="preserve">1. Enviar POST /auth/login con body { "correo": "test@cosasdecasa.com", "password": "Test1234!" }.</w:t>
            </w:r>
          </w:p>
        </w:tc>
      </w:tr>
      <w:tr>
        <w:tc>
          <w:tcPr>
            <w:tcW w:type="pct" w:w="22%"/>
            <w:shd w:fill="d6e4f0" w:color="d6e4f0" w:val="solid"/>
          </w:tcPr>
          <w:p>
            <w:r>
              <w:rPr>
                <w:b/>
                <w:bCs/>
                <w:color w:val="1e3a5f"/>
                <w:sz w:val="20"/>
                <w:szCs w:val="20"/>
              </w:rPr>
              <w:t xml:space="preserve">Resultado esperado</w:t>
            </w:r>
          </w:p>
        </w:tc>
        <w:tc>
          <w:tcPr>
            <w:tcW w:type="pct" w:w="78%"/>
          </w:tcPr>
          <w:p>
            <w:r>
              <w:rPr>
                <w:sz w:val="20"/>
                <w:szCs w:val="20"/>
              </w:rPr>
              <w:t xml:space="preserve">HTTP 200 OK. Respuesta: { "message": "Inicio de sesión exitoso" }. Las cabeceras Set-Cookie deben incluir access_token y refresh_token con los atributos HttpOnly y Secure.</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Status 200, presencia de ambas cookies en la respuesta.</w:t>
            </w:r>
          </w:p>
        </w:tc>
      </w:tr>
    </w:tbl>
    <w:p>
      <w:pPr>
        <w:spacing w:after="160"/>
      </w:pPr>
    </w:p>
    <w:p>
      <w:pPr>
        <w:shd w:fill="d6e4f0" w:color="d6e4f0" w:val="solid"/>
        <w:spacing w:after="60" w:before="200"/>
      </w:pPr>
      <w:r>
        <w:rPr>
          <w:b/>
          <w:bCs/>
          <w:color w:val="1e3a5f"/>
          <w:sz w:val="22"/>
          <w:szCs w:val="22"/>
        </w:rPr>
        <w:t xml:space="preserve">CB-02: Rechazo de login con credenciales inválidas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AuthController.ts / Endpoint: POST /auth/login</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el sistema rechaza el acceso cuando la contraseña es incorrecta y no expone información sobre qué campo falló (mensaje genérico de seguridad).</w:t>
            </w:r>
          </w:p>
        </w:tc>
      </w:tr>
      <w:tr>
        <w:tc>
          <w:tcPr>
            <w:tcW w:type="pct" w:w="22%"/>
            <w:shd w:fill="d6e4f0" w:color="d6e4f0" w:val="solid"/>
          </w:tcPr>
          <w:p>
            <w:r>
              <w:rPr>
                <w:b/>
                <w:bCs/>
                <w:color w:val="1e3a5f"/>
                <w:sz w:val="20"/>
                <w:szCs w:val="20"/>
              </w:rPr>
              <w:t xml:space="preserve">Precondiciones</w:t>
            </w:r>
          </w:p>
        </w:tc>
        <w:tc>
          <w:tcPr>
            <w:tcW w:type="pct" w:w="78%"/>
          </w:tcPr>
          <w:p>
            <w:r>
              <w:rPr>
                <w:sz w:val="20"/>
                <w:szCs w:val="20"/>
              </w:rPr>
              <w:t xml:space="preserve">Existe el usuario con correo test@cosasdecasa.com.</w:t>
            </w:r>
          </w:p>
        </w:tc>
      </w:tr>
      <w:tr>
        <w:tc>
          <w:tcPr>
            <w:tcW w:type="pct" w:w="22%"/>
            <w:shd w:fill="d6e4f0" w:color="d6e4f0" w:val="solid"/>
          </w:tcPr>
          <w:p>
            <w:r>
              <w:rPr>
                <w:b/>
                <w:bCs/>
                <w:color w:val="1e3a5f"/>
                <w:sz w:val="20"/>
                <w:szCs w:val="20"/>
              </w:rPr>
              <w:t xml:space="preserve">Pasos</w:t>
            </w:r>
          </w:p>
        </w:tc>
        <w:tc>
          <w:tcPr>
            <w:tcW w:type="pct" w:w="78%"/>
          </w:tcPr>
          <w:p>
            <w:r>
              <w:rPr>
                <w:sz w:val="20"/>
                <w:szCs w:val="20"/>
              </w:rPr>
              <w:t xml:space="preserve">1. Enviar POST /auth/login con body { "correo": "test@cosasdecasa.com", "password": "ContraseñaIncorrecta" }.</w:t>
            </w:r>
          </w:p>
        </w:tc>
      </w:tr>
      <w:tr>
        <w:tc>
          <w:tcPr>
            <w:tcW w:type="pct" w:w="22%"/>
            <w:shd w:fill="d6e4f0" w:color="d6e4f0" w:val="solid"/>
          </w:tcPr>
          <w:p>
            <w:r>
              <w:rPr>
                <w:b/>
                <w:bCs/>
                <w:color w:val="1e3a5f"/>
                <w:sz w:val="20"/>
                <w:szCs w:val="20"/>
              </w:rPr>
              <w:t xml:space="preserve">Resultado esperado</w:t>
            </w:r>
          </w:p>
        </w:tc>
        <w:tc>
          <w:tcPr>
            <w:tcW w:type="pct" w:w="78%"/>
          </w:tcPr>
          <w:p>
            <w:r>
              <w:rPr>
                <w:sz w:val="20"/>
                <w:szCs w:val="20"/>
              </w:rPr>
              <w:t xml:space="preserve">HTTP 401 Unauthorized. El mensaje de error debe ser genérico (ej. "Credenciales inválidas") y NO debe indicar si el correo o la contraseña son el campo incorrecto.</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Status 401, sin cookies en la respuesta.</w:t>
            </w:r>
          </w:p>
        </w:tc>
      </w:tr>
    </w:tbl>
    <w:p>
      <w:pPr>
        <w:spacing w:after="160"/>
      </w:pPr>
    </w:p>
    <w:p>
      <w:pPr>
        <w:shd w:fill="d6e4f0" w:color="d6e4f0" w:val="solid"/>
        <w:spacing w:after="60" w:before="200"/>
      </w:pPr>
      <w:r>
        <w:rPr>
          <w:b/>
          <w:bCs/>
          <w:color w:val="1e3a5f"/>
          <w:sz w:val="22"/>
          <w:szCs w:val="22"/>
        </w:rPr>
        <w:t xml:space="preserve">CB-03: Registro de nuevo usuario con datos válidos e inválidos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PerfilController.ts / POST /identity/usuarios + Frontend → RegisterPage.tsx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el formulario valida los campos requeridos (correo único, contraseña con requisitos mínimos, nombre) y que el backend rechaza registros duplicados.</w:t>
            </w:r>
          </w:p>
        </w:tc>
      </w:tr>
      <w:tr>
        <w:tc>
          <w:tcPr>
            <w:tcW w:type="pct" w:w="22%"/>
            <w:shd w:fill="d6e4f0" w:color="d6e4f0" w:val="solid"/>
          </w:tcPr>
          <w:p>
            <w:r>
              <w:rPr>
                <w:b/>
                <w:bCs/>
                <w:color w:val="1e3a5f"/>
                <w:sz w:val="20"/>
                <w:szCs w:val="20"/>
              </w:rPr>
              <w:t xml:space="preserve">Precondiciones</w:t>
            </w:r>
          </w:p>
        </w:tc>
        <w:tc>
          <w:tcPr>
            <w:tcW w:type="pct" w:w="78%"/>
          </w:tcPr>
          <w:p>
            <w:r>
              <w:rPr>
                <w:sz w:val="20"/>
                <w:szCs w:val="20"/>
              </w:rPr>
              <w:t xml:space="preserve">La aplicación está disponible. Se tiene un correo ya registrado (existente@cosasdecasa.com).</w:t>
            </w:r>
          </w:p>
        </w:tc>
      </w:tr>
      <w:tr>
        <w:tc>
          <w:tcPr>
            <w:tcW w:type="pct" w:w="22%"/>
            <w:shd w:fill="d6e4f0" w:color="d6e4f0" w:val="solid"/>
          </w:tcPr>
          <w:p>
            <w:r>
              <w:rPr>
                <w:b/>
                <w:bCs/>
                <w:color w:val="1e3a5f"/>
                <w:sz w:val="20"/>
                <w:szCs w:val="20"/>
              </w:rPr>
              <w:t xml:space="preserve">Pasos</w:t>
            </w:r>
          </w:p>
        </w:tc>
        <w:tc>
          <w:tcPr>
            <w:tcW w:type="pct" w:w="78%"/>
          </w:tcPr>
          <w:p>
            <w:r>
              <w:rPr>
                <w:sz w:val="20"/>
                <w:szCs w:val="20"/>
              </w:rPr>
              <w:t xml:space="preserve">1. Registrarse con datos válidos → se espera éxito (HTTP 201). 2. Registrarse con el mismo correo → se espera rechazo (HTTP 409). 3. Registrarse con contraseña débil → validación del formulario con mensaje de error.</w:t>
            </w:r>
          </w:p>
        </w:tc>
      </w:tr>
      <w:tr>
        <w:tc>
          <w:tcPr>
            <w:tcW w:type="pct" w:w="22%"/>
            <w:shd w:fill="d6e4f0" w:color="d6e4f0" w:val="solid"/>
          </w:tcPr>
          <w:p>
            <w:r>
              <w:rPr>
                <w:b/>
                <w:bCs/>
                <w:color w:val="1e3a5f"/>
                <w:sz w:val="20"/>
                <w:szCs w:val="20"/>
              </w:rPr>
              <w:t xml:space="preserve">Resultado esperado</w:t>
            </w:r>
          </w:p>
        </w:tc>
        <w:tc>
          <w:tcPr>
            <w:tcW w:type="pct" w:w="78%"/>
          </w:tcPr>
          <w:p>
            <w:r>
              <w:rPr>
                <w:sz w:val="20"/>
                <w:szCs w:val="20"/>
              </w:rPr>
              <w:t xml:space="preserve">(1) HTTP 201 y redirección al home. (2) HTTP 409 con mensaje "El correo ya está registrado". (3) El formulario no se envía y muestra el error de validación.</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Los 3 escenarios producen el comportamiento descrito.</w:t>
            </w:r>
          </w:p>
        </w:tc>
      </w:tr>
    </w:tbl>
    <w:p>
      <w:pPr>
        <w:spacing w:after="160"/>
      </w:pPr>
    </w:p>
    <w:p>
      <w:pPr>
        <w:shd w:fill="d6e4f0" w:color="d6e4f0" w:val="solid"/>
        <w:spacing w:after="60" w:before="200"/>
      </w:pPr>
      <w:r>
        <w:rPr>
          <w:b/>
          <w:bCs/>
          <w:color w:val="1e3a5f"/>
          <w:sz w:val="22"/>
          <w:szCs w:val="22"/>
        </w:rPr>
        <w:t xml:space="preserve">CB-04: Búsqueda y filtrado de profesionales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Módulo search-review / GET /search/profesionales?q=plomero&amp;municipio=Apizaco + Frontend → ClienteHomePage.tsx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el endpoint devuelve únicamente resultados que coinciden con el término y el filtro aplicado, y que devuelve lista vacía cuando no hay coincidencias.</w:t>
            </w:r>
          </w:p>
        </w:tc>
      </w:tr>
      <w:tr>
        <w:tc>
          <w:tcPr>
            <w:tcW w:type="pct" w:w="22%"/>
            <w:shd w:fill="d6e4f0" w:color="d6e4f0" w:val="solid"/>
          </w:tcPr>
          <w:p>
            <w:r>
              <w:rPr>
                <w:b/>
                <w:bCs/>
                <w:color w:val="1e3a5f"/>
                <w:sz w:val="20"/>
                <w:szCs w:val="20"/>
              </w:rPr>
              <w:t xml:space="preserve">Precondiciones</w:t>
            </w:r>
          </w:p>
        </w:tc>
        <w:tc>
          <w:tcPr>
            <w:tcW w:type="pct" w:w="78%"/>
          </w:tcPr>
          <w:p>
            <w:r>
              <w:rPr>
                <w:sz w:val="20"/>
                <w:szCs w:val="20"/>
              </w:rPr>
              <w:t xml:space="preserve">Existen profesionales con categoría "plomero" en el municipio "Apizaco" y en otros municipios. Un usuario cliente está autenticado.</w:t>
            </w:r>
          </w:p>
        </w:tc>
      </w:tr>
      <w:tr>
        <w:tc>
          <w:tcPr>
            <w:tcW w:type="pct" w:w="22%"/>
            <w:shd w:fill="d6e4f0" w:color="d6e4f0" w:val="solid"/>
          </w:tcPr>
          <w:p>
            <w:r>
              <w:rPr>
                <w:b/>
                <w:bCs/>
                <w:color w:val="1e3a5f"/>
                <w:sz w:val="20"/>
                <w:szCs w:val="20"/>
              </w:rPr>
              <w:t xml:space="preserve">Pasos</w:t>
            </w:r>
          </w:p>
        </w:tc>
        <w:tc>
          <w:tcPr>
            <w:tcW w:type="pct" w:w="78%"/>
          </w:tcPr>
          <w:p>
            <w:r>
              <w:rPr>
                <w:sz w:val="20"/>
                <w:szCs w:val="20"/>
              </w:rPr>
              <w:t xml:space="preserve">1. Enviar GET /search/profesionales?q=plomero&amp;municipio=Apizaco. 2. Enviar GET /search/profesionales?q=termografia.</w:t>
            </w:r>
          </w:p>
        </w:tc>
      </w:tr>
      <w:tr>
        <w:tc>
          <w:tcPr>
            <w:tcW w:type="pct" w:w="22%"/>
            <w:shd w:fill="d6e4f0" w:color="d6e4f0" w:val="solid"/>
          </w:tcPr>
          <w:p>
            <w:r>
              <w:rPr>
                <w:b/>
                <w:bCs/>
                <w:color w:val="1e3a5f"/>
                <w:sz w:val="20"/>
                <w:szCs w:val="20"/>
              </w:rPr>
              <w:t xml:space="preserve">Resultado esperado</w:t>
            </w:r>
          </w:p>
        </w:tc>
        <w:tc>
          <w:tcPr>
            <w:tcW w:type="pct" w:w="78%"/>
          </w:tcPr>
          <w:p>
            <w:r>
              <w:rPr>
                <w:sz w:val="20"/>
                <w:szCs w:val="20"/>
              </w:rPr>
              <w:t xml:space="preserve">(1) HTTP 200 con lista de profesionales filtrados correctamente. (2) HTTP 200 con lista vacía [].</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Los resultados solo contienen profesionales que cumplen ambos criterios del filtro.</w:t>
            </w:r>
          </w:p>
        </w:tc>
      </w:tr>
    </w:tbl>
    <w:p>
      <w:pPr>
        <w:spacing w:after="160"/>
      </w:pPr>
    </w:p>
    <w:p>
      <w:pPr>
        <w:shd w:fill="d6e4f0" w:color="d6e4f0" w:val="solid"/>
        <w:spacing w:after="60" w:before="200"/>
      </w:pPr>
      <w:r>
        <w:rPr>
          <w:b/>
          <w:bCs/>
          <w:color w:val="1e3a5f"/>
          <w:sz w:val="22"/>
          <w:szCs w:val="22"/>
        </w:rPr>
        <w:t xml:space="preserve">CB-05: Acceso a rutas protegidas sin sesión activa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Guards de NestJS (JwtAuthGuard) / Frontend → Ruta protegida PerfilProfesionalPage.tsx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un usuario no autenticado NO puede acceder a endpoints ni páginas protegidas, y que es redirigido al login.</w:t>
            </w:r>
          </w:p>
        </w:tc>
      </w:tr>
      <w:tr>
        <w:tc>
          <w:tcPr>
            <w:tcW w:type="pct" w:w="22%"/>
            <w:shd w:fill="d6e4f0" w:color="d6e4f0" w:val="solid"/>
          </w:tcPr>
          <w:p>
            <w:r>
              <w:rPr>
                <w:b/>
                <w:bCs/>
                <w:color w:val="1e3a5f"/>
                <w:sz w:val="20"/>
                <w:szCs w:val="20"/>
              </w:rPr>
              <w:t xml:space="preserve">Precondiciones</w:t>
            </w:r>
          </w:p>
        </w:tc>
        <w:tc>
          <w:tcPr>
            <w:tcW w:type="pct" w:w="78%"/>
          </w:tcPr>
          <w:p>
            <w:r>
              <w:rPr>
                <w:sz w:val="20"/>
                <w:szCs w:val="20"/>
              </w:rPr>
              <w:t xml:space="preserve">No existe ninguna cookie de sesión activa en el navegador/cliente HTTP.</w:t>
            </w:r>
          </w:p>
        </w:tc>
      </w:tr>
      <w:tr>
        <w:tc>
          <w:tcPr>
            <w:tcW w:type="pct" w:w="22%"/>
            <w:shd w:fill="d6e4f0" w:color="d6e4f0" w:val="solid"/>
          </w:tcPr>
          <w:p>
            <w:r>
              <w:rPr>
                <w:b/>
                <w:bCs/>
                <w:color w:val="1e3a5f"/>
                <w:sz w:val="20"/>
                <w:szCs w:val="20"/>
              </w:rPr>
              <w:t xml:space="preserve">Pasos</w:t>
            </w:r>
          </w:p>
        </w:tc>
        <w:tc>
          <w:tcPr>
            <w:tcW w:type="pct" w:w="78%"/>
          </w:tcPr>
          <w:p>
            <w:r>
              <w:rPr>
                <w:sz w:val="20"/>
                <w:szCs w:val="20"/>
              </w:rPr>
              <w:t xml:space="preserve">1. Intentar GET /auth/me sin cookies. 2. Navegar directamente a /perfil en el navegador sin sesión.</w:t>
            </w:r>
          </w:p>
        </w:tc>
      </w:tr>
      <w:tr>
        <w:tc>
          <w:tcPr>
            <w:tcW w:type="pct" w:w="22%"/>
            <w:shd w:fill="d6e4f0" w:color="d6e4f0" w:val="solid"/>
          </w:tcPr>
          <w:p>
            <w:r>
              <w:rPr>
                <w:b/>
                <w:bCs/>
                <w:color w:val="1e3a5f"/>
                <w:sz w:val="20"/>
                <w:szCs w:val="20"/>
              </w:rPr>
              <w:t xml:space="preserve">Resultado esperado</w:t>
            </w:r>
          </w:p>
        </w:tc>
        <w:tc>
          <w:tcPr>
            <w:tcW w:type="pct" w:w="78%"/>
          </w:tcPr>
          <w:p>
            <w:r>
              <w:rPr>
                <w:sz w:val="20"/>
                <w:szCs w:val="20"/>
              </w:rPr>
              <w:t xml:space="preserve">(1) HTTP 401 Unauthorized. (2) El frontend redirige automáticamente a la página de Login.</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El backend devuelve 401 y el frontend no renderiza la página protegida.</w:t>
            </w:r>
          </w:p>
        </w:tc>
      </w:tr>
    </w:tbl>
    <w:p>
      <w:pPr>
        <w:spacing w:after="240"/>
      </w:pPr>
    </w:p>
    <w:p>
      <w:pPr>
        <w:spacing w:after="80" w:before="240"/>
      </w:pPr>
      <w:r>
        <w:rPr>
          <w:b/>
          <w:bCs/>
          <w:color w:val="2e6da4"/>
          <w:sz w:val="24"/>
          <w:szCs w:val="24"/>
        </w:rPr>
        <w:t xml:space="preserve">3.2 PRUEBAS DE RENDIMIENTO (5 pruebas)</w:t>
      </w:r>
    </w:p>
    <w:p>
      <w:pPr>
        <w:spacing w:after="80"/>
      </w:pPr>
      <w:r>
        <w:rPr>
          <w:sz w:val="22"/>
          <w:szCs w:val="22"/>
        </w:rPr>
        <w:t xml:space="preserve">Herramienta propuesta: k6 (scripts JavaScript) ejecutado desde la máquina de pruebas contra la instancia de producción en Render. Se evalúa la respuesta del sistema bajo condiciones de carga simulada, midiendo latencia (P95/P99), tasa de errores y degradación.</w:t>
      </w:r>
    </w:p>
    <w:p>
      <w:pPr>
        <w:spacing w:after="120"/>
      </w:pPr>
    </w:p>
    <w:p>
      <w:pPr>
        <w:shd w:fill="d6e4f0" w:color="d6e4f0" w:val="solid"/>
        <w:spacing w:after="60" w:before="200"/>
      </w:pPr>
      <w:r>
        <w:rPr>
          <w:b/>
          <w:bCs/>
          <w:color w:val="1e3a5f"/>
          <w:sz w:val="22"/>
          <w:szCs w:val="22"/>
        </w:rPr>
        <w:t xml:space="preserve">RD-01: Carga base en el endpoint de búsqueda de profesionales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GET /search/profesionales (módulo search-review)</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Establecer la línea base de rendimiento del endpoint más crítico bajo una carga de uso típico.</w:t>
            </w:r>
          </w:p>
        </w:tc>
      </w:tr>
      <w:tr>
        <w:tc>
          <w:tcPr>
            <w:tcW w:type="pct" w:w="22%"/>
            <w:shd w:fill="d6e4f0" w:color="d6e4f0" w:val="solid"/>
          </w:tcPr>
          <w:p>
            <w:r>
              <w:rPr>
                <w:b/>
                <w:bCs/>
                <w:color w:val="1e3a5f"/>
                <w:sz w:val="20"/>
                <w:szCs w:val="20"/>
              </w:rPr>
              <w:t xml:space="preserve">Parámetros de carga</w:t>
            </w:r>
          </w:p>
        </w:tc>
        <w:tc>
          <w:tcPr>
            <w:tcW w:type="pct" w:w="78%"/>
          </w:tcPr>
          <w:p>
            <w:r>
              <w:rPr>
                <w:sz w:val="20"/>
                <w:szCs w:val="20"/>
              </w:rPr>
              <w:t xml:space="preserve">10 usuarios virtuales simultáneos durante 60 segundos.</w:t>
            </w:r>
          </w:p>
        </w:tc>
      </w:tr>
      <w:tr>
        <w:tc>
          <w:tcPr>
            <w:tcW w:type="pct" w:w="22%"/>
            <w:shd w:fill="d6e4f0" w:color="d6e4f0" w:val="solid"/>
          </w:tcPr>
          <w:p>
            <w:r>
              <w:rPr>
                <w:b/>
                <w:bCs/>
                <w:color w:val="1e3a5f"/>
                <w:sz w:val="20"/>
                <w:szCs w:val="20"/>
              </w:rPr>
              <w:t xml:space="preserve">Métrica objetivo</w:t>
            </w:r>
          </w:p>
        </w:tc>
        <w:tc>
          <w:tcPr>
            <w:tcW w:type="pct" w:w="78%"/>
          </w:tcPr>
          <w:p>
            <w:r>
              <w:rPr>
                <w:sz w:val="20"/>
                <w:szCs w:val="20"/>
              </w:rPr>
              <w:t xml:space="preserve">Tiempo de respuesta P95 &lt; 800ms. Tasa de error &lt; 1%.</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El 95% de las solicitudes responde en menos de 800ms y la tasa de error es inferior al 1%.</w:t>
            </w:r>
          </w:p>
        </w:tc>
      </w:tr>
    </w:tbl>
    <w:p>
      <w:pPr>
        <w:spacing w:after="160"/>
      </w:pPr>
    </w:p>
    <w:p>
      <w:pPr>
        <w:shd w:fill="d6e4f0" w:color="d6e4f0" w:val="solid"/>
        <w:spacing w:after="60" w:before="200"/>
      </w:pPr>
      <w:r>
        <w:rPr>
          <w:b/>
          <w:bCs/>
          <w:color w:val="1e3a5f"/>
          <w:sz w:val="22"/>
          <w:szCs w:val="22"/>
        </w:rPr>
        <w:t xml:space="preserve">RD-02: Prueba de pico (spike test) en autenticación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POST /auth/login (AuthController.ts)</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el sistema de autenticación soporta un pico repentino de solicitudes de login simultáneas sin colapsar.</w:t>
            </w:r>
          </w:p>
        </w:tc>
      </w:tr>
      <w:tr>
        <w:tc>
          <w:tcPr>
            <w:tcW w:type="pct" w:w="22%"/>
            <w:shd w:fill="d6e4f0" w:color="d6e4f0" w:val="solid"/>
          </w:tcPr>
          <w:p>
            <w:r>
              <w:rPr>
                <w:b/>
                <w:bCs/>
                <w:color w:val="1e3a5f"/>
                <w:sz w:val="20"/>
                <w:szCs w:val="20"/>
              </w:rPr>
              <w:t xml:space="preserve">Parámetros de carga</w:t>
            </w:r>
          </w:p>
        </w:tc>
        <w:tc>
          <w:tcPr>
            <w:tcW w:type="pct" w:w="78%"/>
          </w:tcPr>
          <w:p>
            <w:r>
              <w:rPr>
                <w:sz w:val="20"/>
                <w:szCs w:val="20"/>
              </w:rPr>
              <w:t xml:space="preserve">Rampa de 0 a 50 usuarios virtuales en 10 segundos, mantenidos por 30 segundos, luego bajar a 0 en 10 segundos.</w:t>
            </w:r>
          </w:p>
        </w:tc>
      </w:tr>
      <w:tr>
        <w:tc>
          <w:tcPr>
            <w:tcW w:type="pct" w:w="22%"/>
            <w:shd w:fill="d6e4f0" w:color="d6e4f0" w:val="solid"/>
          </w:tcPr>
          <w:p>
            <w:r>
              <w:rPr>
                <w:b/>
                <w:bCs/>
                <w:color w:val="1e3a5f"/>
                <w:sz w:val="20"/>
                <w:szCs w:val="20"/>
              </w:rPr>
              <w:t xml:space="preserve">Métrica objetivo</w:t>
            </w:r>
          </w:p>
        </w:tc>
        <w:tc>
          <w:tcPr>
            <w:tcW w:type="pct" w:w="78%"/>
          </w:tcPr>
          <w:p>
            <w:r>
              <w:rPr>
                <w:sz w:val="20"/>
                <w:szCs w:val="20"/>
              </w:rPr>
              <w:t xml:space="preserve">Tasa de error &lt; 5% durante el pico. El servidor no devuelve errores 500.</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El sistema absorbe el pico sin devolver errores HTTP 5xx.</w:t>
            </w:r>
          </w:p>
        </w:tc>
      </w:tr>
    </w:tbl>
    <w:p>
      <w:pPr>
        <w:spacing w:after="160"/>
      </w:pPr>
    </w:p>
    <w:p>
      <w:pPr>
        <w:shd w:fill="d6e4f0" w:color="d6e4f0" w:val="solid"/>
        <w:spacing w:after="60" w:before="200"/>
      </w:pPr>
      <w:r>
        <w:rPr>
          <w:b/>
          <w:bCs/>
          <w:color w:val="1e3a5f"/>
          <w:sz w:val="22"/>
          <w:szCs w:val="22"/>
        </w:rPr>
        <w:t xml:space="preserve">RD-03: Prueba de estrés en carga de perfil público de profesional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GET /identity/perfiles/:id/publico + GET /uploads/* (imágenes del portafolio)</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Evaluar cómo responde el servidor cuando muchos usuarios simultáneos visitan el perfil de un profesional con portafolio completo de imágenes. Identificar el punto de ruptura.</w:t>
            </w:r>
          </w:p>
        </w:tc>
      </w:tr>
      <w:tr>
        <w:tc>
          <w:tcPr>
            <w:tcW w:type="pct" w:w="22%"/>
            <w:shd w:fill="d6e4f0" w:color="d6e4f0" w:val="solid"/>
          </w:tcPr>
          <w:p>
            <w:r>
              <w:rPr>
                <w:b/>
                <w:bCs/>
                <w:color w:val="1e3a5f"/>
                <w:sz w:val="20"/>
                <w:szCs w:val="20"/>
              </w:rPr>
              <w:t xml:space="preserve">Parámetros de carga</w:t>
            </w:r>
          </w:p>
        </w:tc>
        <w:tc>
          <w:tcPr>
            <w:tcW w:type="pct" w:w="78%"/>
          </w:tcPr>
          <w:p>
            <w:r>
              <w:rPr>
                <w:sz w:val="20"/>
                <w:szCs w:val="20"/>
              </w:rPr>
              <w:t xml:space="preserve">Incremento gradual de 5 a 100 usuarios virtuales a lo largo de 120 segundos.</w:t>
            </w:r>
          </w:p>
        </w:tc>
      </w:tr>
      <w:tr>
        <w:tc>
          <w:tcPr>
            <w:tcW w:type="pct" w:w="22%"/>
            <w:shd w:fill="d6e4f0" w:color="d6e4f0" w:val="solid"/>
          </w:tcPr>
          <w:p>
            <w:r>
              <w:rPr>
                <w:b/>
                <w:bCs/>
                <w:color w:val="1e3a5f"/>
                <w:sz w:val="20"/>
                <w:szCs w:val="20"/>
              </w:rPr>
              <w:t xml:space="preserve">Métrica objetivo</w:t>
            </w:r>
          </w:p>
        </w:tc>
        <w:tc>
          <w:tcPr>
            <w:tcW w:type="pct" w:w="78%"/>
          </w:tcPr>
          <w:p>
            <w:r>
              <w:rPr>
                <w:sz w:val="20"/>
                <w:szCs w:val="20"/>
              </w:rPr>
              <w:t xml:space="preserve">Identificar en qué número de usuarios el P95 supera los 2,000ms.</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El sistema soporta al menos 50 usuarios concurrentes con P95 &lt; 2,000ms.</w:t>
            </w:r>
          </w:p>
        </w:tc>
      </w:tr>
    </w:tbl>
    <w:p>
      <w:pPr>
        <w:spacing w:after="160"/>
      </w:pPr>
    </w:p>
    <w:p>
      <w:pPr>
        <w:shd w:fill="d6e4f0" w:color="d6e4f0" w:val="solid"/>
        <w:spacing w:after="60" w:before="200"/>
      </w:pPr>
      <w:r>
        <w:rPr>
          <w:b/>
          <w:bCs/>
          <w:color w:val="1e3a5f"/>
          <w:sz w:val="22"/>
          <w:szCs w:val="22"/>
        </w:rPr>
        <w:t xml:space="preserve">RD-04: Prueba de duración (soak test) en sesión activa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GET /auth/me y POST /auth/refresh (AuthController.ts)</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el sistema de sesiones no presenta fugas de memoria ni degradación del rendimiento cuando múltiples sesiones se mantienen activas durante un periodo prolongado.</w:t>
            </w:r>
          </w:p>
        </w:tc>
      </w:tr>
      <w:tr>
        <w:tc>
          <w:tcPr>
            <w:tcW w:type="pct" w:w="22%"/>
            <w:shd w:fill="d6e4f0" w:color="d6e4f0" w:val="solid"/>
          </w:tcPr>
          <w:p>
            <w:r>
              <w:rPr>
                <w:b/>
                <w:bCs/>
                <w:color w:val="1e3a5f"/>
                <w:sz w:val="20"/>
                <w:szCs w:val="20"/>
              </w:rPr>
              <w:t xml:space="preserve">Parámetros de carga</w:t>
            </w:r>
          </w:p>
        </w:tc>
        <w:tc>
          <w:tcPr>
            <w:tcW w:type="pct" w:w="78%"/>
          </w:tcPr>
          <w:p>
            <w:r>
              <w:rPr>
                <w:sz w:val="20"/>
                <w:szCs w:val="20"/>
              </w:rPr>
              <w:t xml:space="preserve">20 usuarios virtuales realizando peticiones /auth/me cada 5 segundos durante 10 minutos.</w:t>
            </w:r>
          </w:p>
        </w:tc>
      </w:tr>
      <w:tr>
        <w:tc>
          <w:tcPr>
            <w:tcW w:type="pct" w:w="22%"/>
            <w:shd w:fill="d6e4f0" w:color="d6e4f0" w:val="solid"/>
          </w:tcPr>
          <w:p>
            <w:r>
              <w:rPr>
                <w:b/>
                <w:bCs/>
                <w:color w:val="1e3a5f"/>
                <w:sz w:val="20"/>
                <w:szCs w:val="20"/>
              </w:rPr>
              <w:t xml:space="preserve">Métrica objetivo</w:t>
            </w:r>
          </w:p>
        </w:tc>
        <w:tc>
          <w:tcPr>
            <w:tcW w:type="pct" w:w="78%"/>
          </w:tcPr>
          <w:p>
            <w:r>
              <w:rPr>
                <w:sz w:val="20"/>
                <w:szCs w:val="20"/>
              </w:rPr>
              <w:t xml:space="preserve">El tiempo de respuesta promedio no debe crecer más del 20% entre el minuto 1 y el minuto 10. Tasa de error &lt; 1%.</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No se detecta degradación progresiva del rendimiento a lo largo del tiempo.</w:t>
            </w:r>
          </w:p>
        </w:tc>
      </w:tr>
    </w:tbl>
    <w:p>
      <w:pPr>
        <w:spacing w:after="160"/>
      </w:pPr>
    </w:p>
    <w:p>
      <w:pPr>
        <w:shd w:fill="d6e4f0" w:color="d6e4f0" w:val="solid"/>
        <w:spacing w:after="60" w:before="200"/>
      </w:pPr>
      <w:r>
        <w:rPr>
          <w:b/>
          <w:bCs/>
          <w:color w:val="1e3a5f"/>
          <w:sz w:val="22"/>
          <w:szCs w:val="22"/>
        </w:rPr>
        <w:t xml:space="preserve">RD-05: Rendimiento del endpoint de envío de solicitud de contacto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Backend → POST /match/solicitudes (módulo match) + BD PostgreSQL</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Medir la latencia de escritura en BD cuando múltiples clientes envían simultáneamente solicitudes de contacto, verificando que no hay cuellos de botella en la capa de persistencia.</w:t>
            </w:r>
          </w:p>
        </w:tc>
      </w:tr>
      <w:tr>
        <w:tc>
          <w:tcPr>
            <w:tcW w:type="pct" w:w="22%"/>
            <w:shd w:fill="d6e4f0" w:color="d6e4f0" w:val="solid"/>
          </w:tcPr>
          <w:p>
            <w:r>
              <w:rPr>
                <w:b/>
                <w:bCs/>
                <w:color w:val="1e3a5f"/>
                <w:sz w:val="20"/>
                <w:szCs w:val="20"/>
              </w:rPr>
              <w:t xml:space="preserve">Parámetros de carga</w:t>
            </w:r>
          </w:p>
        </w:tc>
        <w:tc>
          <w:tcPr>
            <w:tcW w:type="pct" w:w="78%"/>
          </w:tcPr>
          <w:p>
            <w:r>
              <w:rPr>
                <w:sz w:val="20"/>
                <w:szCs w:val="20"/>
              </w:rPr>
              <w:t xml:space="preserve">30 usuarios virtuales realizando POST /match/solicitudes con cuerpo válido durante 60 segundos.</w:t>
            </w:r>
          </w:p>
        </w:tc>
      </w:tr>
      <w:tr>
        <w:tc>
          <w:tcPr>
            <w:tcW w:type="pct" w:w="22%"/>
            <w:shd w:fill="d6e4f0" w:color="d6e4f0" w:val="solid"/>
          </w:tcPr>
          <w:p>
            <w:r>
              <w:rPr>
                <w:b/>
                <w:bCs/>
                <w:color w:val="1e3a5f"/>
                <w:sz w:val="20"/>
                <w:szCs w:val="20"/>
              </w:rPr>
              <w:t xml:space="preserve">Métrica objetivo</w:t>
            </w:r>
          </w:p>
        </w:tc>
        <w:tc>
          <w:tcPr>
            <w:tcW w:type="pct" w:w="78%"/>
          </w:tcPr>
          <w:p>
            <w:r>
              <w:rPr>
                <w:sz w:val="20"/>
                <w:szCs w:val="20"/>
              </w:rPr>
              <w:t xml:space="preserve">P95 &lt; 1,200ms. Tasa de error &lt; 2%.</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El 95% de las solicitudes de creación en BD se completan en menos de 1,200ms.</w:t>
            </w:r>
          </w:p>
        </w:tc>
      </w:tr>
    </w:tbl>
    <w:p>
      <w:pPr>
        <w:spacing w:after="240"/>
      </w:pPr>
    </w:p>
    <w:p>
      <w:pPr>
        <w:spacing w:after="80" w:before="240"/>
      </w:pPr>
      <w:r>
        <w:rPr>
          <w:b/>
          <w:bCs/>
          <w:color w:val="2e6da4"/>
          <w:sz w:val="24"/>
          <w:szCs w:val="24"/>
        </w:rPr>
        <w:t xml:space="preserve">3.3 PRUEBAS DE USABILIDAD (5 pruebas)</w:t>
      </w:r>
    </w:p>
    <w:p>
      <w:pPr>
        <w:spacing w:after="80"/>
      </w:pPr>
      <w:r>
        <w:rPr>
          <w:sz w:val="22"/>
          <w:szCs w:val="22"/>
        </w:rPr>
        <w:t xml:space="preserve">Herramienta propuesta: Google Lighthouse (métricas automatizadas) y Playwright (simulación de interacción E2E). Se evalúa la calidad de la experiencia del usuario final en los flujos más frecuentes, siguiendo las heurísticas de Nielsen.</w:t>
      </w:r>
    </w:p>
    <w:p>
      <w:pPr>
        <w:spacing w:after="120"/>
      </w:pPr>
    </w:p>
    <w:p>
      <w:pPr>
        <w:shd w:fill="d6e4f0" w:color="d6e4f0" w:val="solid"/>
        <w:spacing w:after="60" w:before="200"/>
      </w:pPr>
      <w:r>
        <w:rPr>
          <w:b/>
          <w:bCs/>
          <w:color w:val="1e3a5f"/>
          <w:sz w:val="22"/>
          <w:szCs w:val="22"/>
        </w:rPr>
        <w:t xml:space="preserve">US-01: Evaluación de accesibilidad y métricas Lighthouse en la Landing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Frontend → LandingPublicHomePage.tsx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Medir el rendimiento percibido por el usuario (LCP, FCP, CLS) y la accesibilidad (contraste de colores, textos alternativos, semántica HTML) de la página principal.</w:t>
            </w:r>
          </w:p>
        </w:tc>
      </w:tr>
      <w:tr>
        <w:tc>
          <w:tcPr>
            <w:tcW w:type="pct" w:w="22%"/>
            <w:shd w:fill="d6e4f0" w:color="d6e4f0" w:val="solid"/>
          </w:tcPr>
          <w:p>
            <w:r>
              <w:rPr>
                <w:b/>
                <w:bCs/>
                <w:color w:val="1e3a5f"/>
                <w:sz w:val="20"/>
                <w:szCs w:val="20"/>
              </w:rPr>
              <w:t xml:space="preserve">Método</w:t>
            </w:r>
          </w:p>
        </w:tc>
        <w:tc>
          <w:tcPr>
            <w:tcW w:type="pct" w:w="78%"/>
          </w:tcPr>
          <w:p>
            <w:r>
              <w:rPr>
                <w:sz w:val="20"/>
                <w:szCs w:val="20"/>
              </w:rPr>
              <w:t xml:space="preserve">Ejecutar Google Lighthouse en modo "Navegación" sobre la URL de producción del frontend.</w:t>
            </w:r>
          </w:p>
        </w:tc>
      </w:tr>
      <w:tr>
        <w:tc>
          <w:tcPr>
            <w:tcW w:type="pct" w:w="22%"/>
            <w:shd w:fill="d6e4f0" w:color="d6e4f0" w:val="solid"/>
          </w:tcPr>
          <w:p>
            <w:r>
              <w:rPr>
                <w:b/>
                <w:bCs/>
                <w:color w:val="1e3a5f"/>
                <w:sz w:val="20"/>
                <w:szCs w:val="20"/>
              </w:rPr>
              <w:t xml:space="preserve">Métricas objetivo</w:t>
            </w:r>
          </w:p>
        </w:tc>
        <w:tc>
          <w:tcPr>
            <w:tcW w:type="pct" w:w="78%"/>
          </w:tcPr>
          <w:p>
            <w:r>
              <w:rPr>
                <w:sz w:val="20"/>
                <w:szCs w:val="20"/>
              </w:rPr>
              <w:t xml:space="preserve">Puntuación de Rendimiento ≥ 75. Puntuación de Accesibilidad ≥ 90. LCP &lt; 2.5s. CLS &lt; 0.1.</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Las 4 métricas objetivo se cumplen en la prueba de Lighthouse.</w:t>
            </w:r>
          </w:p>
        </w:tc>
      </w:tr>
    </w:tbl>
    <w:p>
      <w:pPr>
        <w:spacing w:after="160"/>
      </w:pPr>
    </w:p>
    <w:p>
      <w:pPr>
        <w:shd w:fill="d6e4f0" w:color="d6e4f0" w:val="solid"/>
        <w:spacing w:after="60" w:before="200"/>
      </w:pPr>
      <w:r>
        <w:rPr>
          <w:b/>
          <w:bCs/>
          <w:color w:val="1e3a5f"/>
          <w:sz w:val="22"/>
          <w:szCs w:val="22"/>
        </w:rPr>
        <w:t xml:space="preserve">US-02: Completitud y claridad del flujo de registro de nuevo usuario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Frontend → RegisterPage.tsx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un usuario nuevo puede completar el proceso de registro sin ambigüedades y que los mensajes de error son comprensibles y se muestran junto al campo incorrecto.</w:t>
            </w:r>
          </w:p>
        </w:tc>
      </w:tr>
      <w:tr>
        <w:tc>
          <w:tcPr>
            <w:tcW w:type="pct" w:w="22%"/>
            <w:shd w:fill="d6e4f0" w:color="d6e4f0" w:val="solid"/>
          </w:tcPr>
          <w:p>
            <w:r>
              <w:rPr>
                <w:b/>
                <w:bCs/>
                <w:color w:val="1e3a5f"/>
                <w:sz w:val="20"/>
                <w:szCs w:val="20"/>
              </w:rPr>
              <w:t xml:space="preserve">Método</w:t>
            </w:r>
          </w:p>
        </w:tc>
        <w:tc>
          <w:tcPr>
            <w:tcW w:type="pct" w:w="78%"/>
          </w:tcPr>
          <w:p>
            <w:r>
              <w:rPr>
                <w:sz w:val="20"/>
                <w:szCs w:val="20"/>
              </w:rPr>
              <w:t xml:space="preserve">Script de Playwright que simula un usuario completando el formulario con datos inválidos y luego con datos correctos.</w:t>
            </w:r>
          </w:p>
        </w:tc>
      </w:tr>
      <w:tr>
        <w:tc>
          <w:tcPr>
            <w:tcW w:type="pct" w:w="22%"/>
            <w:shd w:fill="d6e4f0" w:color="d6e4f0" w:val="solid"/>
          </w:tcPr>
          <w:p>
            <w:r>
              <w:rPr>
                <w:b/>
                <w:bCs/>
                <w:color w:val="1e3a5f"/>
                <w:sz w:val="20"/>
                <w:szCs w:val="20"/>
              </w:rPr>
              <w:t xml:space="preserve">Escenarios</w:t>
            </w:r>
          </w:p>
        </w:tc>
        <w:tc>
          <w:tcPr>
            <w:tcW w:type="pct" w:w="78%"/>
          </w:tcPr>
          <w:p>
            <w:r>
              <w:rPr>
                <w:sz w:val="20"/>
                <w:szCs w:val="20"/>
              </w:rPr>
              <w:t xml:space="preserve">(a) Dejar campos vacíos → verificar mensajes descriptivos por campo. (b) Completar correctamente → verificar redirección en menos de 3 segundos.</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Los mensajes de error están junto a su campo. El flujo completo exitoso toma menos de 3 clics después de llenar el formulario.</w:t>
            </w:r>
          </w:p>
        </w:tc>
      </w:tr>
    </w:tbl>
    <w:p>
      <w:pPr>
        <w:spacing w:after="160"/>
      </w:pPr>
    </w:p>
    <w:p>
      <w:pPr>
        <w:shd w:fill="d6e4f0" w:color="d6e4f0" w:val="solid"/>
        <w:spacing w:after="60" w:before="200"/>
      </w:pPr>
      <w:r>
        <w:rPr>
          <w:b/>
          <w:bCs/>
          <w:color w:val="1e3a5f"/>
          <w:sz w:val="22"/>
          <w:szCs w:val="22"/>
        </w:rPr>
        <w:t xml:space="preserve">US-03: Intuitividad del carrusel de imágenes en el portafolio del profesional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Frontend → ImageCarousel.tsx (dentro de PerfilProfesionalPublicoPage.tsx)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los controles del carrusel (anterior/siguiente, indicadores de posición, modo pantalla completa) son claros, responden al clic y al teclado, y son accesibles.</w:t>
            </w:r>
          </w:p>
        </w:tc>
      </w:tr>
      <w:tr>
        <w:tc>
          <w:tcPr>
            <w:tcW w:type="pct" w:w="22%"/>
            <w:shd w:fill="d6e4f0" w:color="d6e4f0" w:val="solid"/>
          </w:tcPr>
          <w:p>
            <w:r>
              <w:rPr>
                <w:b/>
                <w:bCs/>
                <w:color w:val="1e3a5f"/>
                <w:sz w:val="20"/>
                <w:szCs w:val="20"/>
              </w:rPr>
              <w:t xml:space="preserve">Método</w:t>
            </w:r>
          </w:p>
        </w:tc>
        <w:tc>
          <w:tcPr>
            <w:tcW w:type="pct" w:w="78%"/>
          </w:tcPr>
          <w:p>
            <w:r>
              <w:rPr>
                <w:sz w:val="20"/>
                <w:szCs w:val="20"/>
              </w:rPr>
              <w:t xml:space="preserve">Script de Playwright que interactúa con los controles. Inspección con Lighthouse de los atributos ARIA.</w:t>
            </w:r>
          </w:p>
        </w:tc>
      </w:tr>
      <w:tr>
        <w:tc>
          <w:tcPr>
            <w:tcW w:type="pct" w:w="22%"/>
            <w:shd w:fill="d6e4f0" w:color="d6e4f0" w:val="solid"/>
          </w:tcPr>
          <w:p>
            <w:r>
              <w:rPr>
                <w:b/>
                <w:bCs/>
                <w:color w:val="1e3a5f"/>
                <w:sz w:val="20"/>
                <w:szCs w:val="20"/>
              </w:rPr>
              <w:t xml:space="preserve">Escenarios</w:t>
            </w:r>
          </w:p>
        </w:tc>
        <w:tc>
          <w:tcPr>
            <w:tcW w:type="pct" w:w="78%"/>
          </w:tcPr>
          <w:p>
            <w:r>
              <w:rPr>
                <w:sz w:val="20"/>
                <w:szCs w:val="20"/>
              </w:rPr>
              <w:t xml:space="preserve">(a) Clic en "siguiente" navega a la imagen correcta. (b) Tecla ArrowRight funciona en modo fullscreen. (c) Las imágenes tienen atributo alt descriptivo.</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Los 3 escenarios se validan correctamente. Sin errores de accesibilidad en Lighthouse para este componente.</w:t>
            </w:r>
          </w:p>
        </w:tc>
      </w:tr>
    </w:tbl>
    <w:p>
      <w:pPr>
        <w:spacing w:after="160"/>
      </w:pPr>
    </w:p>
    <w:p>
      <w:pPr>
        <w:shd w:fill="d6e4f0" w:color="d6e4f0" w:val="solid"/>
        <w:spacing w:after="60" w:before="200"/>
      </w:pPr>
      <w:r>
        <w:rPr>
          <w:b/>
          <w:bCs/>
          <w:color w:val="1e3a5f"/>
          <w:sz w:val="22"/>
          <w:szCs w:val="22"/>
        </w:rPr>
        <w:t xml:space="preserve">US-04: Eficiencia del flujo de búsqueda y envío de solicitud de contacto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Frontend → ClienteHomePage.tsx + SolicitudModal.tsx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Medir cuántos pasos requiere un cliente para encontrar un profesional y enviarle una solicitud. El flujo debe completarse en ≤ 5 clics.</w:t>
            </w:r>
          </w:p>
        </w:tc>
      </w:tr>
      <w:tr>
        <w:tc>
          <w:tcPr>
            <w:tcW w:type="pct" w:w="22%"/>
            <w:shd w:fill="d6e4f0" w:color="d6e4f0" w:val="solid"/>
          </w:tcPr>
          <w:p>
            <w:r>
              <w:rPr>
                <w:b/>
                <w:bCs/>
                <w:color w:val="1e3a5f"/>
                <w:sz w:val="20"/>
                <w:szCs w:val="20"/>
              </w:rPr>
              <w:t xml:space="preserve">Método</w:t>
            </w:r>
          </w:p>
        </w:tc>
        <w:tc>
          <w:tcPr>
            <w:tcW w:type="pct" w:w="78%"/>
          </w:tcPr>
          <w:p>
            <w:r>
              <w:rPr>
                <w:sz w:val="20"/>
                <w:szCs w:val="20"/>
              </w:rPr>
              <w:t xml:space="preserve">Script de Playwright que: (1) ingresa término en buscador, (2) aplica filtro, (3) abre perfil, (4) clic en "Contactar", (5) llena el modal, (6) envía.</w:t>
            </w:r>
          </w:p>
        </w:tc>
      </w:tr>
      <w:tr>
        <w:tc>
          <w:tcPr>
            <w:tcW w:type="pct" w:w="22%"/>
            <w:shd w:fill="d6e4f0" w:color="d6e4f0" w:val="solid"/>
          </w:tcPr>
          <w:p>
            <w:r>
              <w:rPr>
                <w:b/>
                <w:bCs/>
                <w:color w:val="1e3a5f"/>
                <w:sz w:val="20"/>
                <w:szCs w:val="20"/>
              </w:rPr>
              <w:t xml:space="preserve">Métricas</w:t>
            </w:r>
          </w:p>
        </w:tc>
        <w:tc>
          <w:tcPr>
            <w:tcW w:type="pct" w:w="78%"/>
          </w:tcPr>
          <w:p>
            <w:r>
              <w:rPr>
                <w:sz w:val="20"/>
                <w:szCs w:val="20"/>
              </w:rPr>
              <w:t xml:space="preserve">Número de interacciones necesarias (objetivo: ≤ 5 clics). Tiempo total del flujo (objetivo: &lt; 60 segundos).</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El flujo completo se realiza en ≤ 5 clics y &lt; 60 segundos. El modal de confirmación se muestra tras el envío.</w:t>
            </w:r>
          </w:p>
        </w:tc>
      </w:tr>
    </w:tbl>
    <w:p>
      <w:pPr>
        <w:spacing w:after="160"/>
      </w:pPr>
    </w:p>
    <w:p>
      <w:pPr>
        <w:shd w:fill="d6e4f0" w:color="d6e4f0" w:val="solid"/>
        <w:spacing w:after="60" w:before="200"/>
      </w:pPr>
      <w:r>
        <w:rPr>
          <w:b/>
          <w:bCs/>
          <w:color w:val="1e3a5f"/>
          <w:sz w:val="22"/>
          <w:szCs w:val="22"/>
        </w:rPr>
        <w:t xml:space="preserve">US-05: Retroalimentación visual durante la edición del perfil profesional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tblGrid>
      <w:tr>
        <w:tc>
          <w:tcPr>
            <w:tcW w:type="pct" w:w="22%"/>
            <w:shd w:fill="d6e4f0" w:color="d6e4f0" w:val="solid"/>
          </w:tcPr>
          <w:p>
            <w:r>
              <w:rPr>
                <w:b/>
                <w:bCs/>
                <w:color w:val="1e3a5f"/>
                <w:sz w:val="20"/>
                <w:szCs w:val="20"/>
              </w:rPr>
              <w:t xml:space="preserve">Módulo / Componente</w:t>
            </w:r>
          </w:p>
        </w:tc>
        <w:tc>
          <w:tcPr>
            <w:tcW w:type="pct" w:w="78%"/>
          </w:tcPr>
          <w:p>
            <w:r>
              <w:rPr>
                <w:sz w:val="20"/>
                <w:szCs w:val="20"/>
              </w:rPr>
              <w:t xml:space="preserve">Frontend → PerfilProfesionalPage.tsx (incluye EtiquetasEditor.tsx, DisponibilidadEditor.tsx, PortafolioManager.tsx)</w:t>
            </w:r>
          </w:p>
        </w:tc>
      </w:tr>
      <w:tr>
        <w:tc>
          <w:tcPr>
            <w:tcW w:type="pct" w:w="22%"/>
            <w:shd w:fill="d6e4f0" w:color="d6e4f0" w:val="solid"/>
          </w:tcPr>
          <w:p>
            <w:r>
              <w:rPr>
                <w:b/>
                <w:bCs/>
                <w:color w:val="1e3a5f"/>
                <w:sz w:val="20"/>
                <w:szCs w:val="20"/>
              </w:rPr>
              <w:t xml:space="preserve">Objetivo</w:t>
            </w:r>
          </w:p>
        </w:tc>
        <w:tc>
          <w:tcPr>
            <w:tcW w:type="pct" w:w="78%"/>
          </w:tcPr>
          <w:p>
            <w:r>
              <w:rPr>
                <w:sz w:val="20"/>
                <w:szCs w:val="20"/>
              </w:rPr>
              <w:t xml:space="preserve">Verificar que el sistema proporciona retroalimentación visual inmediata y clara al profesional cuando realiza acciones de edición: agregar etiquetas, subir imágenes, guardar cambios.</w:t>
            </w:r>
          </w:p>
        </w:tc>
      </w:tr>
      <w:tr>
        <w:tc>
          <w:tcPr>
            <w:tcW w:type="pct" w:w="22%"/>
            <w:shd w:fill="d6e4f0" w:color="d6e4f0" w:val="solid"/>
          </w:tcPr>
          <w:p>
            <w:r>
              <w:rPr>
                <w:b/>
                <w:bCs/>
                <w:color w:val="1e3a5f"/>
                <w:sz w:val="20"/>
                <w:szCs w:val="20"/>
              </w:rPr>
              <w:t xml:space="preserve">Método</w:t>
            </w:r>
          </w:p>
        </w:tc>
        <w:tc>
          <w:tcPr>
            <w:tcW w:type="pct" w:w="78%"/>
          </w:tcPr>
          <w:p>
            <w:r>
              <w:rPr>
                <w:sz w:val="20"/>
                <w:szCs w:val="20"/>
              </w:rPr>
              <w:t xml:space="preserve">Script de Playwright que simula: (a) agregar etiqueta, (b) subir imagen, (c) guardar perfil. En cada acción, verificar la presencia de indicador de estado.</w:t>
            </w:r>
          </w:p>
        </w:tc>
      </w:tr>
      <w:tr>
        <w:tc>
          <w:tcPr>
            <w:tcW w:type="pct" w:w="22%"/>
            <w:shd w:fill="d6e4f0" w:color="d6e4f0" w:val="solid"/>
          </w:tcPr>
          <w:p>
            <w:r>
              <w:rPr>
                <w:b/>
                <w:bCs/>
                <w:color w:val="1e3a5f"/>
                <w:sz w:val="20"/>
                <w:szCs w:val="20"/>
              </w:rPr>
              <w:t xml:space="preserve">Criterio de éxito</w:t>
            </w:r>
          </w:p>
        </w:tc>
        <w:tc>
          <w:tcPr>
            <w:tcW w:type="pct" w:w="78%"/>
          </w:tcPr>
          <w:p>
            <w:r>
              <w:rPr>
                <w:sz w:val="20"/>
                <w:szCs w:val="20"/>
              </w:rPr>
              <w:t xml:space="preserve">Cada una de las 3 acciones muestra un indicador de progreso y confirmación de éxito/error en menos de 500ms desde que llega la respuesta del servidor.</w:t>
            </w:r>
          </w:p>
        </w:tc>
      </w:tr>
    </w:tbl>
    <w:p>
      <w:pPr>
        <w:spacing w:after="240"/>
      </w:pPr>
    </w:p>
    <w:p>
      <w:pPr>
        <w:pBdr>
          <w:bottom w:val="single" w:color="2e6da4" w:sz="6"/>
        </w:pBdr>
        <w:spacing w:after="120" w:before="320"/>
      </w:pPr>
      <w:r>
        <w:rPr>
          <w:b/>
          <w:bCs/>
          <w:color w:val="1e3a5f"/>
          <w:sz w:val="26"/>
          <w:szCs w:val="26"/>
        </w:rPr>
        <w:t xml:space="preserve">4. Resumen del Plan (15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color="1e3a5f" w:val="solid"/>
          </w:tcPr>
          <w:p>
            <w:r>
              <w:rPr>
                <w:b/>
                <w:bCs/>
                <w:color w:val="FFFFFF"/>
                <w:sz w:val="20"/>
                <w:szCs w:val="20"/>
              </w:rPr>
              <w:t xml:space="preserve">ID</w:t>
            </w:r>
          </w:p>
        </w:tc>
        <w:tc>
          <w:tcPr>
            <w:shd w:fill="1e3a5f" w:color="1e3a5f" w:val="solid"/>
          </w:tcPr>
          <w:p>
            <w:r>
              <w:rPr>
                <w:b/>
                <w:bCs/>
                <w:color w:val="FFFFFF"/>
                <w:sz w:val="20"/>
                <w:szCs w:val="20"/>
              </w:rPr>
              <w:t xml:space="preserve">Tipo</w:t>
            </w:r>
          </w:p>
        </w:tc>
        <w:tc>
          <w:tcPr>
            <w:shd w:fill="1e3a5f" w:color="1e3a5f" w:val="solid"/>
          </w:tcPr>
          <w:p>
            <w:r>
              <w:rPr>
                <w:b/>
                <w:bCs/>
                <w:color w:val="FFFFFF"/>
                <w:sz w:val="20"/>
                <w:szCs w:val="20"/>
              </w:rPr>
              <w:t xml:space="preserve">Nombre de la prueba</w:t>
            </w:r>
          </w:p>
        </w:tc>
        <w:tc>
          <w:tcPr>
            <w:shd w:fill="1e3a5f" w:color="1e3a5f" w:val="solid"/>
          </w:tcPr>
          <w:p>
            <w:r>
              <w:rPr>
                <w:b/>
                <w:bCs/>
                <w:color w:val="FFFFFF"/>
                <w:sz w:val="20"/>
                <w:szCs w:val="20"/>
              </w:rPr>
              <w:t xml:space="preserve">Herramienta</w:t>
            </w:r>
          </w:p>
        </w:tc>
      </w:tr>
      <w:tr>
        <w:tc>
          <w:tcPr>
            <w:shd w:fill="f2f2f2" w:color="f2f2f2" w:val="solid"/>
          </w:tcPr>
          <w:p>
            <w:r>
              <w:rPr>
                <w:sz w:val="20"/>
                <w:szCs w:val="20"/>
              </w:rPr>
              <w:t xml:space="preserve">CB-01</w:t>
            </w:r>
          </w:p>
        </w:tc>
        <w:tc>
          <w:tcPr>
            <w:shd w:fill="f2f2f2" w:color="f2f2f2" w:val="solid"/>
          </w:tcPr>
          <w:p>
            <w:r>
              <w:rPr>
                <w:sz w:val="20"/>
                <w:szCs w:val="20"/>
              </w:rPr>
              <w:t xml:space="preserve">Caja Negra</w:t>
            </w:r>
          </w:p>
        </w:tc>
        <w:tc>
          <w:tcPr>
            <w:shd w:fill="f2f2f2" w:color="f2f2f2" w:val="solid"/>
          </w:tcPr>
          <w:p>
            <w:r>
              <w:rPr>
                <w:sz w:val="20"/>
                <w:szCs w:val="20"/>
              </w:rPr>
              <w:t xml:space="preserve">Autenticación exitosa con credenciales válidas</w:t>
            </w:r>
          </w:p>
        </w:tc>
        <w:tc>
          <w:tcPr>
            <w:shd w:fill="f2f2f2" w:color="f2f2f2" w:val="solid"/>
          </w:tcPr>
          <w:p>
            <w:r>
              <w:rPr>
                <w:sz w:val="20"/>
                <w:szCs w:val="20"/>
              </w:rPr>
              <w:t xml:space="preserve">Postman</w:t>
            </w:r>
          </w:p>
        </w:tc>
      </w:tr>
      <w:tr>
        <w:tc>
          <w:tcPr>
            <w:shd w:fill="FFFFFF" w:color="FFFFFF" w:val="solid"/>
          </w:tcPr>
          <w:p>
            <w:r>
              <w:rPr>
                <w:sz w:val="20"/>
                <w:szCs w:val="20"/>
              </w:rPr>
              <w:t xml:space="preserve">CB-02</w:t>
            </w:r>
          </w:p>
        </w:tc>
        <w:tc>
          <w:tcPr>
            <w:shd w:fill="FFFFFF" w:color="FFFFFF" w:val="solid"/>
          </w:tcPr>
          <w:p>
            <w:r>
              <w:rPr>
                <w:sz w:val="20"/>
                <w:szCs w:val="20"/>
              </w:rPr>
              <w:t xml:space="preserve">Caja Negra</w:t>
            </w:r>
          </w:p>
        </w:tc>
        <w:tc>
          <w:tcPr>
            <w:shd w:fill="FFFFFF" w:color="FFFFFF" w:val="solid"/>
          </w:tcPr>
          <w:p>
            <w:r>
              <w:rPr>
                <w:sz w:val="20"/>
                <w:szCs w:val="20"/>
              </w:rPr>
              <w:t xml:space="preserve">Rechazo de login con credenciales inválidas</w:t>
            </w:r>
          </w:p>
        </w:tc>
        <w:tc>
          <w:tcPr>
            <w:shd w:fill="FFFFFF" w:color="FFFFFF" w:val="solid"/>
          </w:tcPr>
          <w:p>
            <w:r>
              <w:rPr>
                <w:sz w:val="20"/>
                <w:szCs w:val="20"/>
              </w:rPr>
              <w:t xml:space="preserve">Postman</w:t>
            </w:r>
          </w:p>
        </w:tc>
      </w:tr>
      <w:tr>
        <w:tc>
          <w:tcPr>
            <w:shd w:fill="f2f2f2" w:color="f2f2f2" w:val="solid"/>
          </w:tcPr>
          <w:p>
            <w:r>
              <w:rPr>
                <w:sz w:val="20"/>
                <w:szCs w:val="20"/>
              </w:rPr>
              <w:t xml:space="preserve">CB-03</w:t>
            </w:r>
          </w:p>
        </w:tc>
        <w:tc>
          <w:tcPr>
            <w:shd w:fill="f2f2f2" w:color="f2f2f2" w:val="solid"/>
          </w:tcPr>
          <w:p>
            <w:r>
              <w:rPr>
                <w:sz w:val="20"/>
                <w:szCs w:val="20"/>
              </w:rPr>
              <w:t xml:space="preserve">Caja Negra</w:t>
            </w:r>
          </w:p>
        </w:tc>
        <w:tc>
          <w:tcPr>
            <w:shd w:fill="f2f2f2" w:color="f2f2f2" w:val="solid"/>
          </w:tcPr>
          <w:p>
            <w:r>
              <w:rPr>
                <w:sz w:val="20"/>
                <w:szCs w:val="20"/>
              </w:rPr>
              <w:t xml:space="preserve">Registro con datos válidos e inválidos</w:t>
            </w:r>
          </w:p>
        </w:tc>
        <w:tc>
          <w:tcPr>
            <w:shd w:fill="f2f2f2" w:color="f2f2f2" w:val="solid"/>
          </w:tcPr>
          <w:p>
            <w:r>
              <w:rPr>
                <w:sz w:val="20"/>
                <w:szCs w:val="20"/>
              </w:rPr>
              <w:t xml:space="preserve">Postman + Playwright</w:t>
            </w:r>
          </w:p>
        </w:tc>
      </w:tr>
      <w:tr>
        <w:tc>
          <w:tcPr>
            <w:shd w:fill="FFFFFF" w:color="FFFFFF" w:val="solid"/>
          </w:tcPr>
          <w:p>
            <w:r>
              <w:rPr>
                <w:sz w:val="20"/>
                <w:szCs w:val="20"/>
              </w:rPr>
              <w:t xml:space="preserve">CB-04</w:t>
            </w:r>
          </w:p>
        </w:tc>
        <w:tc>
          <w:tcPr>
            <w:shd w:fill="FFFFFF" w:color="FFFFFF" w:val="solid"/>
          </w:tcPr>
          <w:p>
            <w:r>
              <w:rPr>
                <w:sz w:val="20"/>
                <w:szCs w:val="20"/>
              </w:rPr>
              <w:t xml:space="preserve">Caja Negra</w:t>
            </w:r>
          </w:p>
        </w:tc>
        <w:tc>
          <w:tcPr>
            <w:shd w:fill="FFFFFF" w:color="FFFFFF" w:val="solid"/>
          </w:tcPr>
          <w:p>
            <w:r>
              <w:rPr>
                <w:sz w:val="20"/>
                <w:szCs w:val="20"/>
              </w:rPr>
              <w:t xml:space="preserve">Búsqueda y filtrado de profesionales</w:t>
            </w:r>
          </w:p>
        </w:tc>
        <w:tc>
          <w:tcPr>
            <w:shd w:fill="FFFFFF" w:color="FFFFFF" w:val="solid"/>
          </w:tcPr>
          <w:p>
            <w:r>
              <w:rPr>
                <w:sz w:val="20"/>
                <w:szCs w:val="20"/>
              </w:rPr>
              <w:t xml:space="preserve">Postman</w:t>
            </w:r>
          </w:p>
        </w:tc>
      </w:tr>
      <w:tr>
        <w:tc>
          <w:tcPr>
            <w:shd w:fill="f2f2f2" w:color="f2f2f2" w:val="solid"/>
          </w:tcPr>
          <w:p>
            <w:r>
              <w:rPr>
                <w:sz w:val="20"/>
                <w:szCs w:val="20"/>
              </w:rPr>
              <w:t xml:space="preserve">CB-05</w:t>
            </w:r>
          </w:p>
        </w:tc>
        <w:tc>
          <w:tcPr>
            <w:shd w:fill="f2f2f2" w:color="f2f2f2" w:val="solid"/>
          </w:tcPr>
          <w:p>
            <w:r>
              <w:rPr>
                <w:sz w:val="20"/>
                <w:szCs w:val="20"/>
              </w:rPr>
              <w:t xml:space="preserve">Caja Negra</w:t>
            </w:r>
          </w:p>
        </w:tc>
        <w:tc>
          <w:tcPr>
            <w:shd w:fill="f2f2f2" w:color="f2f2f2" w:val="solid"/>
          </w:tcPr>
          <w:p>
            <w:r>
              <w:rPr>
                <w:sz w:val="20"/>
                <w:szCs w:val="20"/>
              </w:rPr>
              <w:t xml:space="preserve">Acceso a rutas protegidas sin sesión activa</w:t>
            </w:r>
          </w:p>
        </w:tc>
        <w:tc>
          <w:tcPr>
            <w:shd w:fill="f2f2f2" w:color="f2f2f2" w:val="solid"/>
          </w:tcPr>
          <w:p>
            <w:r>
              <w:rPr>
                <w:sz w:val="20"/>
                <w:szCs w:val="20"/>
              </w:rPr>
              <w:t xml:space="preserve">Postman + Playwright</w:t>
            </w:r>
          </w:p>
        </w:tc>
      </w:tr>
      <w:tr>
        <w:tc>
          <w:tcPr>
            <w:shd w:fill="FFFFFF" w:color="FFFFFF" w:val="solid"/>
          </w:tcPr>
          <w:p>
            <w:r>
              <w:rPr>
                <w:sz w:val="20"/>
                <w:szCs w:val="20"/>
              </w:rPr>
              <w:t xml:space="preserve">RD-01</w:t>
            </w:r>
          </w:p>
        </w:tc>
        <w:tc>
          <w:tcPr>
            <w:shd w:fill="FFFFFF" w:color="FFFFFF" w:val="solid"/>
          </w:tcPr>
          <w:p>
            <w:r>
              <w:rPr>
                <w:sz w:val="20"/>
                <w:szCs w:val="20"/>
              </w:rPr>
              <w:t xml:space="preserve">Rendimiento</w:t>
            </w:r>
          </w:p>
        </w:tc>
        <w:tc>
          <w:tcPr>
            <w:shd w:fill="FFFFFF" w:color="FFFFFF" w:val="solid"/>
          </w:tcPr>
          <w:p>
            <w:r>
              <w:rPr>
                <w:sz w:val="20"/>
                <w:szCs w:val="20"/>
              </w:rPr>
              <w:t xml:space="preserve">Carga base en búsqueda de profesionales</w:t>
            </w:r>
          </w:p>
        </w:tc>
        <w:tc>
          <w:tcPr>
            <w:shd w:fill="FFFFFF" w:color="FFFFFF" w:val="solid"/>
          </w:tcPr>
          <w:p>
            <w:r>
              <w:rPr>
                <w:sz w:val="20"/>
                <w:szCs w:val="20"/>
              </w:rPr>
              <w:t xml:space="preserve">k6</w:t>
            </w:r>
          </w:p>
        </w:tc>
      </w:tr>
      <w:tr>
        <w:tc>
          <w:tcPr>
            <w:shd w:fill="f2f2f2" w:color="f2f2f2" w:val="solid"/>
          </w:tcPr>
          <w:p>
            <w:r>
              <w:rPr>
                <w:sz w:val="20"/>
                <w:szCs w:val="20"/>
              </w:rPr>
              <w:t xml:space="preserve">RD-02</w:t>
            </w:r>
          </w:p>
        </w:tc>
        <w:tc>
          <w:tcPr>
            <w:shd w:fill="f2f2f2" w:color="f2f2f2" w:val="solid"/>
          </w:tcPr>
          <w:p>
            <w:r>
              <w:rPr>
                <w:sz w:val="20"/>
                <w:szCs w:val="20"/>
              </w:rPr>
              <w:t xml:space="preserve">Rendimiento</w:t>
            </w:r>
          </w:p>
        </w:tc>
        <w:tc>
          <w:tcPr>
            <w:shd w:fill="f2f2f2" w:color="f2f2f2" w:val="solid"/>
          </w:tcPr>
          <w:p>
            <w:r>
              <w:rPr>
                <w:sz w:val="20"/>
                <w:szCs w:val="20"/>
              </w:rPr>
              <w:t xml:space="preserve">Pico de solicitudes de login simultáneas</w:t>
            </w:r>
          </w:p>
        </w:tc>
        <w:tc>
          <w:tcPr>
            <w:shd w:fill="f2f2f2" w:color="f2f2f2" w:val="solid"/>
          </w:tcPr>
          <w:p>
            <w:r>
              <w:rPr>
                <w:sz w:val="20"/>
                <w:szCs w:val="20"/>
              </w:rPr>
              <w:t xml:space="preserve">k6</w:t>
            </w:r>
          </w:p>
        </w:tc>
      </w:tr>
      <w:tr>
        <w:tc>
          <w:tcPr>
            <w:shd w:fill="FFFFFF" w:color="FFFFFF" w:val="solid"/>
          </w:tcPr>
          <w:p>
            <w:r>
              <w:rPr>
                <w:sz w:val="20"/>
                <w:szCs w:val="20"/>
              </w:rPr>
              <w:t xml:space="preserve">RD-03</w:t>
            </w:r>
          </w:p>
        </w:tc>
        <w:tc>
          <w:tcPr>
            <w:shd w:fill="FFFFFF" w:color="FFFFFF" w:val="solid"/>
          </w:tcPr>
          <w:p>
            <w:r>
              <w:rPr>
                <w:sz w:val="20"/>
                <w:szCs w:val="20"/>
              </w:rPr>
              <w:t xml:space="preserve">Rendimiento</w:t>
            </w:r>
          </w:p>
        </w:tc>
        <w:tc>
          <w:tcPr>
            <w:shd w:fill="FFFFFF" w:color="FFFFFF" w:val="solid"/>
          </w:tcPr>
          <w:p>
            <w:r>
              <w:rPr>
                <w:sz w:val="20"/>
                <w:szCs w:val="20"/>
              </w:rPr>
              <w:t xml:space="preserve">Estrés en carga de perfil público</w:t>
            </w:r>
          </w:p>
        </w:tc>
        <w:tc>
          <w:tcPr>
            <w:shd w:fill="FFFFFF" w:color="FFFFFF" w:val="solid"/>
          </w:tcPr>
          <w:p>
            <w:r>
              <w:rPr>
                <w:sz w:val="20"/>
                <w:szCs w:val="20"/>
              </w:rPr>
              <w:t xml:space="preserve">k6</w:t>
            </w:r>
          </w:p>
        </w:tc>
      </w:tr>
      <w:tr>
        <w:tc>
          <w:tcPr>
            <w:shd w:fill="f2f2f2" w:color="f2f2f2" w:val="solid"/>
          </w:tcPr>
          <w:p>
            <w:r>
              <w:rPr>
                <w:sz w:val="20"/>
                <w:szCs w:val="20"/>
              </w:rPr>
              <w:t xml:space="preserve">RD-04</w:t>
            </w:r>
          </w:p>
        </w:tc>
        <w:tc>
          <w:tcPr>
            <w:shd w:fill="f2f2f2" w:color="f2f2f2" w:val="solid"/>
          </w:tcPr>
          <w:p>
            <w:r>
              <w:rPr>
                <w:sz w:val="20"/>
                <w:szCs w:val="20"/>
              </w:rPr>
              <w:t xml:space="preserve">Rendimiento</w:t>
            </w:r>
          </w:p>
        </w:tc>
        <w:tc>
          <w:tcPr>
            <w:shd w:fill="f2f2f2" w:color="f2f2f2" w:val="solid"/>
          </w:tcPr>
          <w:p>
            <w:r>
              <w:rPr>
                <w:sz w:val="20"/>
                <w:szCs w:val="20"/>
              </w:rPr>
              <w:t xml:space="preserve">Duración: sesión activa sin degradación</w:t>
            </w:r>
          </w:p>
        </w:tc>
        <w:tc>
          <w:tcPr>
            <w:shd w:fill="f2f2f2" w:color="f2f2f2" w:val="solid"/>
          </w:tcPr>
          <w:p>
            <w:r>
              <w:rPr>
                <w:sz w:val="20"/>
                <w:szCs w:val="20"/>
              </w:rPr>
              <w:t xml:space="preserve">k6</w:t>
            </w:r>
          </w:p>
        </w:tc>
      </w:tr>
      <w:tr>
        <w:tc>
          <w:tcPr>
            <w:shd w:fill="FFFFFF" w:color="FFFFFF" w:val="solid"/>
          </w:tcPr>
          <w:p>
            <w:r>
              <w:rPr>
                <w:sz w:val="20"/>
                <w:szCs w:val="20"/>
              </w:rPr>
              <w:t xml:space="preserve">RD-05</w:t>
            </w:r>
          </w:p>
        </w:tc>
        <w:tc>
          <w:tcPr>
            <w:shd w:fill="FFFFFF" w:color="FFFFFF" w:val="solid"/>
          </w:tcPr>
          <w:p>
            <w:r>
              <w:rPr>
                <w:sz w:val="20"/>
                <w:szCs w:val="20"/>
              </w:rPr>
              <w:t xml:space="preserve">Rendimiento</w:t>
            </w:r>
          </w:p>
        </w:tc>
        <w:tc>
          <w:tcPr>
            <w:shd w:fill="FFFFFF" w:color="FFFFFF" w:val="solid"/>
          </w:tcPr>
          <w:p>
            <w:r>
              <w:rPr>
                <w:sz w:val="20"/>
                <w:szCs w:val="20"/>
              </w:rPr>
              <w:t xml:space="preserve">Envío concurrente de solicitudes de contacto</w:t>
            </w:r>
          </w:p>
        </w:tc>
        <w:tc>
          <w:tcPr>
            <w:shd w:fill="FFFFFF" w:color="FFFFFF" w:val="solid"/>
          </w:tcPr>
          <w:p>
            <w:r>
              <w:rPr>
                <w:sz w:val="20"/>
                <w:szCs w:val="20"/>
              </w:rPr>
              <w:t xml:space="preserve">k6</w:t>
            </w:r>
          </w:p>
        </w:tc>
      </w:tr>
      <w:tr>
        <w:tc>
          <w:tcPr>
            <w:shd w:fill="f2f2f2" w:color="f2f2f2" w:val="solid"/>
          </w:tcPr>
          <w:p>
            <w:r>
              <w:rPr>
                <w:sz w:val="20"/>
                <w:szCs w:val="20"/>
              </w:rPr>
              <w:t xml:space="preserve">US-01</w:t>
            </w:r>
          </w:p>
        </w:tc>
        <w:tc>
          <w:tcPr>
            <w:shd w:fill="f2f2f2" w:color="f2f2f2" w:val="solid"/>
          </w:tcPr>
          <w:p>
            <w:r>
              <w:rPr>
                <w:sz w:val="20"/>
                <w:szCs w:val="20"/>
              </w:rPr>
              <w:t xml:space="preserve">Usabilidad</w:t>
            </w:r>
          </w:p>
        </w:tc>
        <w:tc>
          <w:tcPr>
            <w:shd w:fill="f2f2f2" w:color="f2f2f2" w:val="solid"/>
          </w:tcPr>
          <w:p>
            <w:r>
              <w:rPr>
                <w:sz w:val="20"/>
                <w:szCs w:val="20"/>
              </w:rPr>
              <w:t xml:space="preserve">Lighthouse en Landing Page</w:t>
            </w:r>
          </w:p>
        </w:tc>
        <w:tc>
          <w:tcPr>
            <w:shd w:fill="f2f2f2" w:color="f2f2f2" w:val="solid"/>
          </w:tcPr>
          <w:p>
            <w:r>
              <w:rPr>
                <w:sz w:val="20"/>
                <w:szCs w:val="20"/>
              </w:rPr>
              <w:t xml:space="preserve">Lighthouse</w:t>
            </w:r>
          </w:p>
        </w:tc>
      </w:tr>
      <w:tr>
        <w:tc>
          <w:tcPr>
            <w:shd w:fill="FFFFFF" w:color="FFFFFF" w:val="solid"/>
          </w:tcPr>
          <w:p>
            <w:r>
              <w:rPr>
                <w:sz w:val="20"/>
                <w:szCs w:val="20"/>
              </w:rPr>
              <w:t xml:space="preserve">US-02</w:t>
            </w:r>
          </w:p>
        </w:tc>
        <w:tc>
          <w:tcPr>
            <w:shd w:fill="FFFFFF" w:color="FFFFFF" w:val="solid"/>
          </w:tcPr>
          <w:p>
            <w:r>
              <w:rPr>
                <w:sz w:val="20"/>
                <w:szCs w:val="20"/>
              </w:rPr>
              <w:t xml:space="preserve">Usabilidad</w:t>
            </w:r>
          </w:p>
        </w:tc>
        <w:tc>
          <w:tcPr>
            <w:shd w:fill="FFFFFF" w:color="FFFFFF" w:val="solid"/>
          </w:tcPr>
          <w:p>
            <w:r>
              <w:rPr>
                <w:sz w:val="20"/>
                <w:szCs w:val="20"/>
              </w:rPr>
              <w:t xml:space="preserve">Flujo de registro de nuevo usuario</w:t>
            </w:r>
          </w:p>
        </w:tc>
        <w:tc>
          <w:tcPr>
            <w:shd w:fill="FFFFFF" w:color="FFFFFF" w:val="solid"/>
          </w:tcPr>
          <w:p>
            <w:r>
              <w:rPr>
                <w:sz w:val="20"/>
                <w:szCs w:val="20"/>
              </w:rPr>
              <w:t xml:space="preserve">Playwright</w:t>
            </w:r>
          </w:p>
        </w:tc>
      </w:tr>
      <w:tr>
        <w:tc>
          <w:tcPr>
            <w:shd w:fill="f2f2f2" w:color="f2f2f2" w:val="solid"/>
          </w:tcPr>
          <w:p>
            <w:r>
              <w:rPr>
                <w:sz w:val="20"/>
                <w:szCs w:val="20"/>
              </w:rPr>
              <w:t xml:space="preserve">US-03</w:t>
            </w:r>
          </w:p>
        </w:tc>
        <w:tc>
          <w:tcPr>
            <w:shd w:fill="f2f2f2" w:color="f2f2f2" w:val="solid"/>
          </w:tcPr>
          <w:p>
            <w:r>
              <w:rPr>
                <w:sz w:val="20"/>
                <w:szCs w:val="20"/>
              </w:rPr>
              <w:t xml:space="preserve">Usabilidad</w:t>
            </w:r>
          </w:p>
        </w:tc>
        <w:tc>
          <w:tcPr>
            <w:shd w:fill="f2f2f2" w:color="f2f2f2" w:val="solid"/>
          </w:tcPr>
          <w:p>
            <w:r>
              <w:rPr>
                <w:sz w:val="20"/>
                <w:szCs w:val="20"/>
              </w:rPr>
              <w:t xml:space="preserve">Carrusel de portafolio accesible</w:t>
            </w:r>
          </w:p>
        </w:tc>
        <w:tc>
          <w:tcPr>
            <w:shd w:fill="f2f2f2" w:color="f2f2f2" w:val="solid"/>
          </w:tcPr>
          <w:p>
            <w:r>
              <w:rPr>
                <w:sz w:val="20"/>
                <w:szCs w:val="20"/>
              </w:rPr>
              <w:t xml:space="preserve">Playwright + Lighthouse</w:t>
            </w:r>
          </w:p>
        </w:tc>
      </w:tr>
      <w:tr>
        <w:tc>
          <w:tcPr>
            <w:shd w:fill="FFFFFF" w:color="FFFFFF" w:val="solid"/>
          </w:tcPr>
          <w:p>
            <w:r>
              <w:rPr>
                <w:sz w:val="20"/>
                <w:szCs w:val="20"/>
              </w:rPr>
              <w:t xml:space="preserve">US-04</w:t>
            </w:r>
          </w:p>
        </w:tc>
        <w:tc>
          <w:tcPr>
            <w:shd w:fill="FFFFFF" w:color="FFFFFF" w:val="solid"/>
          </w:tcPr>
          <w:p>
            <w:r>
              <w:rPr>
                <w:sz w:val="20"/>
                <w:szCs w:val="20"/>
              </w:rPr>
              <w:t xml:space="preserve">Usabilidad</w:t>
            </w:r>
          </w:p>
        </w:tc>
        <w:tc>
          <w:tcPr>
            <w:shd w:fill="FFFFFF" w:color="FFFFFF" w:val="solid"/>
          </w:tcPr>
          <w:p>
            <w:r>
              <w:rPr>
                <w:sz w:val="20"/>
                <w:szCs w:val="20"/>
              </w:rPr>
              <w:t xml:space="preserve">Flujo de búsqueda y contacto (≤ 5 clics)</w:t>
            </w:r>
          </w:p>
        </w:tc>
        <w:tc>
          <w:tcPr>
            <w:shd w:fill="FFFFFF" w:color="FFFFFF" w:val="solid"/>
          </w:tcPr>
          <w:p>
            <w:r>
              <w:rPr>
                <w:sz w:val="20"/>
                <w:szCs w:val="20"/>
              </w:rPr>
              <w:t xml:space="preserve">Playwright</w:t>
            </w:r>
          </w:p>
        </w:tc>
      </w:tr>
      <w:tr>
        <w:tc>
          <w:tcPr>
            <w:shd w:fill="f2f2f2" w:color="f2f2f2" w:val="solid"/>
          </w:tcPr>
          <w:p>
            <w:r>
              <w:rPr>
                <w:sz w:val="20"/>
                <w:szCs w:val="20"/>
              </w:rPr>
              <w:t xml:space="preserve">US-05</w:t>
            </w:r>
          </w:p>
        </w:tc>
        <w:tc>
          <w:tcPr>
            <w:shd w:fill="f2f2f2" w:color="f2f2f2" w:val="solid"/>
          </w:tcPr>
          <w:p>
            <w:r>
              <w:rPr>
                <w:sz w:val="20"/>
                <w:szCs w:val="20"/>
              </w:rPr>
              <w:t xml:space="preserve">Usabilidad</w:t>
            </w:r>
          </w:p>
        </w:tc>
        <w:tc>
          <w:tcPr>
            <w:shd w:fill="f2f2f2" w:color="f2f2f2" w:val="solid"/>
          </w:tcPr>
          <w:p>
            <w:r>
              <w:rPr>
                <w:sz w:val="20"/>
                <w:szCs w:val="20"/>
              </w:rPr>
              <w:t xml:space="preserve">Retroalimentación visual al editar perfil</w:t>
            </w:r>
          </w:p>
        </w:tc>
        <w:tc>
          <w:tcPr>
            <w:shd w:fill="f2f2f2" w:color="f2f2f2" w:val="solid"/>
          </w:tcPr>
          <w:p>
            <w:r>
              <w:rPr>
                <w:sz w:val="20"/>
                <w:szCs w:val="20"/>
              </w:rPr>
              <w:t xml:space="preserve">Playwright</w:t>
            </w:r>
          </w:p>
        </w:tc>
      </w:tr>
    </w:tbl>
    <w:p>
      <w:pPr>
        <w:spacing w:after="240"/>
      </w:pPr>
    </w:p>
    <w:p>
      <w:pPr>
        <w:pBdr>
          <w:bottom w:val="single" w:color="2e6da4" w:sz="6"/>
        </w:pBdr>
        <w:spacing w:after="120" w:before="320"/>
      </w:pPr>
      <w:r>
        <w:rPr>
          <w:b/>
          <w:bCs/>
          <w:color w:val="1e3a5f"/>
          <w:sz w:val="26"/>
          <w:szCs w:val="26"/>
        </w:rPr>
        <w:t xml:space="preserve">5. Consideraciones del Entorno de Pruebas</w:t>
      </w:r>
    </w:p>
    <w:p>
      <w:pPr>
        <w:spacing w:after="80"/>
      </w:pPr>
      <w:r>
        <w:rPr>
          <w:b/>
          <w:bCs/>
          <w:sz w:val="22"/>
          <w:szCs w:val="22"/>
        </w:rPr>
        <w:t xml:space="preserve">•  Entorno objetivo: </w:t>
      </w:r>
      <w:r>
        <w:rPr>
          <w:sz w:val="22"/>
          <w:szCs w:val="22"/>
        </w:rPr>
        <w:t xml:space="preserve">Las pruebas de Caja Negra y Rendimiento se ejecutarán contra la instancia de producción en Render (https://cosasdecasa-api.onrender.com), ya que es el entorno real.</w:t>
      </w:r>
    </w:p>
    <w:p>
      <w:pPr>
        <w:spacing w:after="80"/>
      </w:pPr>
      <w:r>
        <w:rPr>
          <w:b/>
          <w:bCs/>
          <w:sz w:val="22"/>
          <w:szCs w:val="22"/>
        </w:rPr>
        <w:t xml:space="preserve">•  Aislamiento con Docker: </w:t>
      </w:r>
      <w:r>
        <w:rPr>
          <w:sz w:val="22"/>
          <w:szCs w:val="22"/>
        </w:rPr>
        <w:t xml:space="preserve">Para las pruebas de integración locales (pre-commit), se levantará el sistema completo con docker-compose para garantizar un entorno reproducible y sin interferencias externas.</w:t>
      </w:r>
    </w:p>
    <w:p>
      <w:pPr>
        <w:spacing w:after="80"/>
      </w:pPr>
      <w:r>
        <w:rPr>
          <w:b/>
          <w:bCs/>
          <w:sz w:val="22"/>
          <w:szCs w:val="22"/>
        </w:rPr>
        <w:t xml:space="preserve">•  Datos de prueba: </w:t>
      </w:r>
      <w:r>
        <w:rPr>
          <w:sz w:val="22"/>
          <w:szCs w:val="22"/>
        </w:rPr>
        <w:t xml:space="preserve">Se creará un conjunto de datos de prueba (seed) dedicado, con usuarios, perfiles y solicitudes de ejemplo, para evitar contaminar los datos reales de producción.</w:t>
      </w:r>
    </w:p>
    <w:p>
      <w:pPr>
        <w:spacing w:after="200"/>
      </w:pPr>
      <w:r>
        <w:rPr>
          <w:b/>
          <w:bCs/>
          <w:sz w:val="22"/>
          <w:szCs w:val="22"/>
        </w:rPr>
        <w:t xml:space="preserve">•  Alcance del documento: </w:t>
      </w:r>
      <w:r>
        <w:rPr>
          <w:sz w:val="22"/>
          <w:szCs w:val="22"/>
        </w:rPr>
        <w:t xml:space="preserve">Este documento es un entregable previo (Fase 1). La implementación de los scripts de prueba comenzará únicamente tras la aprobación formal de esta propuesta.</w:t>
      </w:r>
    </w:p>
    <w:p>
      <w:pPr>
        <w:pBdr>
          <w:bottom w:val="single" w:color="2e6da4" w:sz="6"/>
        </w:pBdr>
        <w:spacing w:after="120" w:before="320"/>
      </w:pPr>
      <w:r>
        <w:rPr>
          <w:b/>
          <w:bCs/>
          <w:color w:val="1e3a5f"/>
          <w:sz w:val="26"/>
          <w:szCs w:val="26"/>
        </w:rPr>
        <w:t xml:space="preserve">6. Plan de Contenerización de la Aplicación</w:t>
      </w:r>
    </w:p>
    <w:p>
      <w:pPr>
        <w:spacing w:after="80"/>
      </w:pPr>
      <w:r>
        <w:rPr>
          <w:sz w:val="22"/>
          <w:szCs w:val="22"/>
        </w:rPr>
        <w:t xml:space="preserve">CosasDeCasa ya cuenta con una infraestructura de contenedores definida mediante Docker y Docker Compose. A continuación se describe la arquitectura de contenedores existente y cómo se utilizará durante la ejecución de las pruebas.</w:t>
      </w:r>
    </w:p>
    <w:p>
      <w:pPr>
        <w:spacing w:after="80" w:before="240"/>
      </w:pPr>
      <w:r>
        <w:rPr>
          <w:b/>
          <w:bCs/>
          <w:color w:val="2e6da4"/>
          <w:sz w:val="24"/>
          <w:szCs w:val="24"/>
        </w:rPr>
        <w:t xml:space="preserve">6.1 Arquitectura de Contenedores</w:t>
      </w:r>
    </w:p>
    <w:p>
      <w:pPr>
        <w:spacing w:after="80"/>
      </w:pPr>
      <w:r>
        <w:rPr>
          <w:sz w:val="22"/>
          <w:szCs w:val="22"/>
        </w:rPr>
        <w:t xml:space="preserve">La aplicación está compuesta por 3 servicios orquestados a través del archivo docker-compose.yml ubicado en la raíz del repositorio:</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color="1e3a5f" w:val="solid"/>
          </w:tcPr>
          <w:p>
            <w:r>
              <w:rPr>
                <w:b/>
                <w:bCs/>
                <w:color w:val="FFFFFF"/>
                <w:sz w:val="20"/>
                <w:szCs w:val="20"/>
              </w:rPr>
              <w:t xml:space="preserve">Servicio</w:t>
            </w:r>
          </w:p>
        </w:tc>
        <w:tc>
          <w:tcPr>
            <w:shd w:fill="1e3a5f" w:color="1e3a5f" w:val="solid"/>
          </w:tcPr>
          <w:p>
            <w:r>
              <w:rPr>
                <w:b/>
                <w:bCs/>
                <w:color w:val="FFFFFF"/>
                <w:sz w:val="20"/>
                <w:szCs w:val="20"/>
              </w:rPr>
              <w:t xml:space="preserve">Imagen / Base</w:t>
            </w:r>
          </w:p>
        </w:tc>
        <w:tc>
          <w:tcPr>
            <w:shd w:fill="1e3a5f" w:color="1e3a5f" w:val="solid"/>
          </w:tcPr>
          <w:p>
            <w:r>
              <w:rPr>
                <w:b/>
                <w:bCs/>
                <w:color w:val="FFFFFF"/>
                <w:sz w:val="20"/>
                <w:szCs w:val="20"/>
              </w:rPr>
              <w:t xml:space="preserve">Puerto</w:t>
            </w:r>
          </w:p>
        </w:tc>
        <w:tc>
          <w:tcPr>
            <w:shd w:fill="1e3a5f" w:color="1e3a5f" w:val="solid"/>
          </w:tcPr>
          <w:p>
            <w:r>
              <w:rPr>
                <w:b/>
                <w:bCs/>
                <w:color w:val="FFFFFF"/>
                <w:sz w:val="20"/>
                <w:szCs w:val="20"/>
              </w:rPr>
              <w:t xml:space="preserve">Descripción</w:t>
            </w:r>
          </w:p>
        </w:tc>
      </w:tr>
      <w:tr>
        <w:tc>
          <w:tcPr>
            <w:shd w:fill="f2f2f2" w:color="f2f2f2" w:val="solid"/>
          </w:tcPr>
          <w:p>
            <w:r>
              <w:rPr>
                <w:sz w:val="20"/>
                <w:szCs w:val="20"/>
              </w:rPr>
              <w:t xml:space="preserve">db-cosasdecasa</w:t>
            </w:r>
          </w:p>
        </w:tc>
        <w:tc>
          <w:tcPr>
            <w:shd w:fill="f2f2f2" w:color="f2f2f2" w:val="solid"/>
          </w:tcPr>
          <w:p>
            <w:r>
              <w:rPr>
                <w:sz w:val="20"/>
                <w:szCs w:val="20"/>
              </w:rPr>
              <w:t xml:space="preserve">postgres:15-alpine</w:t>
            </w:r>
          </w:p>
        </w:tc>
        <w:tc>
          <w:tcPr>
            <w:shd w:fill="f2f2f2" w:color="f2f2f2" w:val="solid"/>
          </w:tcPr>
          <w:p>
            <w:r>
              <w:rPr>
                <w:sz w:val="20"/>
                <w:szCs w:val="20"/>
              </w:rPr>
              <w:t xml:space="preserve">5432</w:t>
            </w:r>
          </w:p>
        </w:tc>
        <w:tc>
          <w:tcPr>
            <w:shd w:fill="f2f2f2" w:color="f2f2f2" w:val="solid"/>
          </w:tcPr>
          <w:p>
            <w:r>
              <w:rPr>
                <w:sz w:val="20"/>
                <w:szCs w:val="20"/>
              </w:rPr>
              <w:t xml:space="preserve">Base de datos PostgreSQL. Persiste los datos en un volumen nombrado pgdata_cosasdecasa para que no se pierdan entre reinicios de contenedor.</w:t>
            </w:r>
          </w:p>
        </w:tc>
      </w:tr>
      <w:tr>
        <w:tc>
          <w:tcPr>
            <w:shd w:fill="FFFFFF" w:color="FFFFFF" w:val="solid"/>
          </w:tcPr>
          <w:p>
            <w:r>
              <w:rPr>
                <w:sz w:val="20"/>
                <w:szCs w:val="20"/>
              </w:rPr>
              <w:t xml:space="preserve">backend</w:t>
            </w:r>
          </w:p>
        </w:tc>
        <w:tc>
          <w:tcPr>
            <w:shd w:fill="FFFFFF" w:color="FFFFFF" w:val="solid"/>
          </w:tcPr>
          <w:p>
            <w:r>
              <w:rPr>
                <w:sz w:val="20"/>
                <w:szCs w:val="20"/>
              </w:rPr>
              <w:t xml:space="preserve">node:20 (Dockerfile propio)</w:t>
            </w:r>
          </w:p>
        </w:tc>
        <w:tc>
          <w:tcPr>
            <w:shd w:fill="FFFFFF" w:color="FFFFFF" w:val="solid"/>
          </w:tcPr>
          <w:p>
            <w:r>
              <w:rPr>
                <w:sz w:val="20"/>
                <w:szCs w:val="20"/>
              </w:rPr>
              <w:t xml:space="preserve">3000</w:t>
            </w:r>
          </w:p>
        </w:tc>
        <w:tc>
          <w:tcPr>
            <w:shd w:fill="FFFFFF" w:color="FFFFFF" w:val="solid"/>
          </w:tcPr>
          <w:p>
            <w:r>
              <w:rPr>
                <w:sz w:val="20"/>
                <w:szCs w:val="20"/>
              </w:rPr>
              <w:t xml:space="preserve">API REST en NestJS. Genera el Prisma Client durante el build (RUN npx prisma generate). Depende del servicio de BD y se conecta a ella mediante DATABASE_URL.</w:t>
            </w:r>
          </w:p>
        </w:tc>
      </w:tr>
      <w:tr>
        <w:tc>
          <w:tcPr>
            <w:shd w:fill="f2f2f2" w:color="f2f2f2" w:val="solid"/>
          </w:tcPr>
          <w:p>
            <w:r>
              <w:rPr>
                <w:sz w:val="20"/>
                <w:szCs w:val="20"/>
              </w:rPr>
              <w:t xml:space="preserve">frontend</w:t>
            </w:r>
          </w:p>
        </w:tc>
        <w:tc>
          <w:tcPr>
            <w:shd w:fill="f2f2f2" w:color="f2f2f2" w:val="solid"/>
          </w:tcPr>
          <w:p>
            <w:r>
              <w:rPr>
                <w:sz w:val="20"/>
                <w:szCs w:val="20"/>
              </w:rPr>
              <w:t xml:space="preserve">node:20-alpine (Dockerfile propio)</w:t>
            </w:r>
          </w:p>
        </w:tc>
        <w:tc>
          <w:tcPr>
            <w:shd w:fill="f2f2f2" w:color="f2f2f2" w:val="solid"/>
          </w:tcPr>
          <w:p>
            <w:r>
              <w:rPr>
                <w:sz w:val="20"/>
                <w:szCs w:val="20"/>
              </w:rPr>
              <w:t xml:space="preserve">5173</w:t>
            </w:r>
          </w:p>
        </w:tc>
        <w:tc>
          <w:tcPr>
            <w:shd w:fill="f2f2f2" w:color="f2f2f2" w:val="solid"/>
          </w:tcPr>
          <w:p>
            <w:r>
              <w:rPr>
                <w:sz w:val="20"/>
                <w:szCs w:val="20"/>
              </w:rPr>
              <w:t xml:space="preserve">Aplicación React (Vite) en modo desarrollo. Se comunica con el backend a través del proxy de Vite configurado con la variable BACKEND_URL.</w:t>
            </w:r>
          </w:p>
        </w:tc>
      </w:tr>
    </w:tbl>
    <w:p>
      <w:pPr>
        <w:spacing w:after="200"/>
      </w:pPr>
    </w:p>
    <w:p>
      <w:pPr>
        <w:spacing w:after="80" w:before="240"/>
      </w:pPr>
      <w:r>
        <w:rPr>
          <w:b/>
          <w:bCs/>
          <w:color w:val="2e6da4"/>
          <w:sz w:val="24"/>
          <w:szCs w:val="24"/>
        </w:rPr>
        <w:t xml:space="preserve">6.2 Dockerfiles por Servicio</w:t>
      </w:r>
    </w:p>
    <w:p>
      <w:pPr>
        <w:shd w:fill="d6e4f0" w:color="d6e4f0" w:val="solid"/>
        <w:spacing w:after="60" w:before="200"/>
      </w:pPr>
      <w:r>
        <w:rPr>
          <w:b/>
          <w:bCs/>
          <w:color w:val="1e3a5f"/>
          <w:sz w:val="22"/>
          <w:szCs w:val="22"/>
        </w:rPr>
        <w:t xml:space="preserve">Backend (backend-nestjs/Dockerfile)</w:t>
      </w:r>
    </w:p>
    <w:p>
      <w:pPr>
        <w:spacing w:after="60"/>
      </w:pPr>
      <w:r>
        <w:rPr>
          <w:b/>
          <w:bCs/>
          <w:sz w:val="21"/>
          <w:szCs w:val="21"/>
        </w:rPr>
        <w:t xml:space="preserve">Imagen base: </w:t>
      </w:r>
      <w:r>
        <w:rPr>
          <w:rFonts w:ascii="Courier New" w:cs="Courier New" w:eastAsia="Courier New" w:hAnsi="Courier New"/>
          <w:sz w:val="21"/>
          <w:szCs w:val="21"/>
        </w:rPr>
        <w:t xml:space="preserve">node:20</w:t>
      </w:r>
    </w:p>
    <w:p>
      <w:pPr>
        <w:spacing w:after="40"/>
      </w:pPr>
      <w:r>
        <w:rPr>
          <w:b/>
          <w:bCs/>
          <w:sz w:val="21"/>
          <w:szCs w:val="21"/>
        </w:rPr>
        <w:t xml:space="preserve">Pasos del build:</w:t>
      </w:r>
    </w:p>
    <w:p>
      <w:pPr>
        <w:spacing w:after="30"/>
      </w:pPr>
      <w:r>
        <w:rPr>
          <w:rFonts w:ascii="Courier New" w:cs="Courier New" w:eastAsia="Courier New" w:hAnsi="Courier New"/>
          <w:sz w:val="20"/>
          <w:szCs w:val="20"/>
        </w:rPr>
        <w:t xml:space="preserve">1.  WORKDIR /app — Establece el directorio de trabajo.</w:t>
      </w:r>
    </w:p>
    <w:p>
      <w:pPr>
        <w:spacing w:after="30"/>
      </w:pPr>
      <w:r>
        <w:rPr>
          <w:rFonts w:ascii="Courier New" w:cs="Courier New" w:eastAsia="Courier New" w:hAnsi="Courier New"/>
          <w:sz w:val="20"/>
          <w:szCs w:val="20"/>
        </w:rPr>
        <w:t xml:space="preserve">2.  COPY package*.json ./ — Copia manifiestos de dependencias.</w:t>
      </w:r>
    </w:p>
    <w:p>
      <w:pPr>
        <w:spacing w:after="30"/>
      </w:pPr>
      <w:r>
        <w:rPr>
          <w:rFonts w:ascii="Courier New" w:cs="Courier New" w:eastAsia="Courier New" w:hAnsi="Courier New"/>
          <w:sz w:val="20"/>
          <w:szCs w:val="20"/>
        </w:rPr>
        <w:t xml:space="preserve">3.  RUN npm install --legacy-peer-deps — Instala dependencias.</w:t>
      </w:r>
    </w:p>
    <w:p>
      <w:pPr>
        <w:spacing w:after="30"/>
      </w:pPr>
      <w:r>
        <w:rPr>
          <w:rFonts w:ascii="Courier New" w:cs="Courier New" w:eastAsia="Courier New" w:hAnsi="Courier New"/>
          <w:sz w:val="20"/>
          <w:szCs w:val="20"/>
        </w:rPr>
        <w:t xml:space="preserve">4.  COPY . . — Copia el código fuente completo.</w:t>
      </w:r>
    </w:p>
    <w:p>
      <w:pPr>
        <w:spacing w:after="30"/>
      </w:pPr>
      <w:r>
        <w:rPr>
          <w:rFonts w:ascii="Courier New" w:cs="Courier New" w:eastAsia="Courier New" w:hAnsi="Courier New"/>
          <w:sz w:val="20"/>
          <w:szCs w:val="20"/>
        </w:rPr>
        <w:t xml:space="preserve">5.  RUN npx prisma generate — Genera el cliente de Prisma para el ORM.</w:t>
      </w:r>
    </w:p>
    <w:p>
      <w:pPr>
        <w:spacing w:after="30"/>
      </w:pPr>
      <w:r>
        <w:rPr>
          <w:rFonts w:ascii="Courier New" w:cs="Courier New" w:eastAsia="Courier New" w:hAnsi="Courier New"/>
          <w:sz w:val="20"/>
          <w:szCs w:val="20"/>
        </w:rPr>
        <w:t xml:space="preserve">6.  EXPOSE 3000 — Expone el puerto de la API.</w:t>
      </w:r>
    </w:p>
    <w:p>
      <w:pPr>
        <w:spacing w:after="30"/>
      </w:pPr>
      <w:r>
        <w:rPr>
          <w:rFonts w:ascii="Courier New" w:cs="Courier New" w:eastAsia="Courier New" w:hAnsi="Courier New"/>
          <w:sz w:val="20"/>
          <w:szCs w:val="20"/>
        </w:rPr>
        <w:t xml:space="preserve">7.  CMD ["npm", "run", "start:dev"] — Inicia el servidor NestJS.</w:t>
      </w:r>
    </w:p>
    <w:p>
      <w:pPr>
        <w:spacing w:after="140"/>
      </w:pPr>
    </w:p>
    <w:p>
      <w:pPr>
        <w:shd w:fill="d6e4f0" w:color="d6e4f0" w:val="solid"/>
        <w:spacing w:after="60" w:before="200"/>
      </w:pPr>
      <w:r>
        <w:rPr>
          <w:b/>
          <w:bCs/>
          <w:color w:val="1e3a5f"/>
          <w:sz w:val="22"/>
          <w:szCs w:val="22"/>
        </w:rPr>
        <w:t xml:space="preserve">Frontend (frontend-react/Dockerfile)</w:t>
      </w:r>
    </w:p>
    <w:p>
      <w:pPr>
        <w:spacing w:after="60"/>
      </w:pPr>
      <w:r>
        <w:rPr>
          <w:b/>
          <w:bCs/>
          <w:sz w:val="21"/>
          <w:szCs w:val="21"/>
        </w:rPr>
        <w:t xml:space="preserve">Imagen base: </w:t>
      </w:r>
      <w:r>
        <w:rPr>
          <w:rFonts w:ascii="Courier New" w:cs="Courier New" w:eastAsia="Courier New" w:hAnsi="Courier New"/>
          <w:sz w:val="21"/>
          <w:szCs w:val="21"/>
        </w:rPr>
        <w:t xml:space="preserve">node:20-alpine</w:t>
      </w:r>
    </w:p>
    <w:p>
      <w:pPr>
        <w:spacing w:after="40"/>
      </w:pPr>
      <w:r>
        <w:rPr>
          <w:b/>
          <w:bCs/>
          <w:sz w:val="21"/>
          <w:szCs w:val="21"/>
        </w:rPr>
        <w:t xml:space="preserve">Pasos del build:</w:t>
      </w:r>
    </w:p>
    <w:p>
      <w:pPr>
        <w:spacing w:after="30"/>
      </w:pPr>
      <w:r>
        <w:rPr>
          <w:rFonts w:ascii="Courier New" w:cs="Courier New" w:eastAsia="Courier New" w:hAnsi="Courier New"/>
          <w:sz w:val="20"/>
          <w:szCs w:val="20"/>
        </w:rPr>
        <w:t xml:space="preserve">1.  WORKDIR /app — Establece el directorio de trabajo.</w:t>
      </w:r>
    </w:p>
    <w:p>
      <w:pPr>
        <w:spacing w:after="30"/>
      </w:pPr>
      <w:r>
        <w:rPr>
          <w:rFonts w:ascii="Courier New" w:cs="Courier New" w:eastAsia="Courier New" w:hAnsi="Courier New"/>
          <w:sz w:val="20"/>
          <w:szCs w:val="20"/>
        </w:rPr>
        <w:t xml:space="preserve">2.  COPY package*.json ./ — Copia manifiestos de dependencias.</w:t>
      </w:r>
    </w:p>
    <w:p>
      <w:pPr>
        <w:spacing w:after="30"/>
      </w:pPr>
      <w:r>
        <w:rPr>
          <w:rFonts w:ascii="Courier New" w:cs="Courier New" w:eastAsia="Courier New" w:hAnsi="Courier New"/>
          <w:sz w:val="20"/>
          <w:szCs w:val="20"/>
        </w:rPr>
        <w:t xml:space="preserve">3.  RUN npm install --legacy-peer-deps — Instala dependencias.</w:t>
      </w:r>
    </w:p>
    <w:p>
      <w:pPr>
        <w:spacing w:after="30"/>
      </w:pPr>
      <w:r>
        <w:rPr>
          <w:rFonts w:ascii="Courier New" w:cs="Courier New" w:eastAsia="Courier New" w:hAnsi="Courier New"/>
          <w:sz w:val="20"/>
          <w:szCs w:val="20"/>
        </w:rPr>
        <w:t xml:space="preserve">4.  COPY . . — Copia el código fuente completo.</w:t>
      </w:r>
    </w:p>
    <w:p>
      <w:pPr>
        <w:spacing w:after="30"/>
      </w:pPr>
      <w:r>
        <w:rPr>
          <w:rFonts w:ascii="Courier New" w:cs="Courier New" w:eastAsia="Courier New" w:hAnsi="Courier New"/>
          <w:sz w:val="20"/>
          <w:szCs w:val="20"/>
        </w:rPr>
        <w:t xml:space="preserve">5.  EXPOSE 5173 — Puerto del servidor de desarrollo de Vite.</w:t>
      </w:r>
    </w:p>
    <w:p>
      <w:pPr>
        <w:spacing w:after="30"/>
      </w:pPr>
      <w:r>
        <w:rPr>
          <w:rFonts w:ascii="Courier New" w:cs="Courier New" w:eastAsia="Courier New" w:hAnsi="Courier New"/>
          <w:sz w:val="20"/>
          <w:szCs w:val="20"/>
        </w:rPr>
        <w:t xml:space="preserve">6.  ENV HOST=0.0.0.0 — Escucha en todas las interfaces del contenedor.</w:t>
      </w:r>
    </w:p>
    <w:p>
      <w:pPr>
        <w:spacing w:after="30"/>
      </w:pPr>
      <w:r>
        <w:rPr>
          <w:rFonts w:ascii="Courier New" w:cs="Courier New" w:eastAsia="Courier New" w:hAnsi="Courier New"/>
          <w:sz w:val="20"/>
          <w:szCs w:val="20"/>
        </w:rPr>
        <w:t xml:space="preserve">7.  CMD ["npm", "run", "dev", "--", "--host"] — Inicia Vite en modo dev.</w:t>
      </w:r>
    </w:p>
    <w:p>
      <w:pPr>
        <w:spacing w:after="200"/>
      </w:pPr>
    </w:p>
    <w:p>
      <w:pPr>
        <w:spacing w:after="80" w:before="240"/>
      </w:pPr>
      <w:r>
        <w:rPr>
          <w:b/>
          <w:bCs/>
          <w:color w:val="2e6da4"/>
          <w:sz w:val="24"/>
          <w:szCs w:val="24"/>
        </w:rPr>
        <w:t xml:space="preserve">6.3 Uso de los Contenedores en el Proceso de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6da4" w:color="2e6da4" w:val="solid"/>
          </w:tcPr>
          <w:p>
            <w:r>
              <w:rPr>
                <w:b/>
                <w:bCs/>
                <w:color w:val="FFFFFF"/>
                <w:sz w:val="20"/>
                <w:szCs w:val="20"/>
              </w:rPr>
              <w:t xml:space="preserve">Fase de Prueba</w:t>
            </w:r>
          </w:p>
        </w:tc>
        <w:tc>
          <w:tcPr>
            <w:shd w:fill="2e6da4" w:color="2e6da4" w:val="solid"/>
          </w:tcPr>
          <w:p>
            <w:r>
              <w:rPr>
                <w:b/>
                <w:bCs/>
                <w:color w:val="FFFFFF"/>
                <w:sz w:val="20"/>
                <w:szCs w:val="20"/>
              </w:rPr>
              <w:t xml:space="preserve">Uso del Entorno Contenerizado</w:t>
            </w:r>
          </w:p>
        </w:tc>
        <w:tc>
          <w:tcPr>
            <w:shd w:fill="2e6da4" w:color="2e6da4" w:val="solid"/>
          </w:tcPr>
          <w:p>
            <w:r>
              <w:rPr>
                <w:b/>
                <w:bCs/>
                <w:color w:val="FFFFFF"/>
                <w:sz w:val="20"/>
                <w:szCs w:val="20"/>
              </w:rPr>
              <w:t xml:space="preserve">Comando de arranque</w:t>
            </w:r>
          </w:p>
        </w:tc>
      </w:tr>
      <w:tr>
        <w:tc>
          <w:tcPr>
            <w:shd w:fill="d6e4f0" w:color="d6e4f0" w:val="solid"/>
          </w:tcPr>
          <w:p>
            <w:r>
              <w:rPr>
                <w:sz w:val="20"/>
                <w:szCs w:val="20"/>
              </w:rPr>
              <w:t xml:space="preserve">Pruebas de Caja Negra (local)</w:t>
            </w:r>
          </w:p>
        </w:tc>
        <w:tc>
          <w:tcPr>
            <w:shd w:fill="d6e4f0" w:color="d6e4f0" w:val="solid"/>
          </w:tcPr>
          <w:p>
            <w:r>
              <w:rPr>
                <w:sz w:val="20"/>
                <w:szCs w:val="20"/>
              </w:rPr>
              <w:t xml:space="preserve">Se levanta el stack completo con Docker Compose para probar los endpoints de la API de forma aislada, sin depender de la instancia de producción en Render.</w:t>
            </w:r>
          </w:p>
        </w:tc>
        <w:tc>
          <w:tcPr>
            <w:shd w:fill="d6e4f0" w:color="d6e4f0" w:val="solid"/>
          </w:tcPr>
          <w:p>
            <w:r>
              <w:rPr>
                <w:sz w:val="20"/>
                <w:szCs w:val="20"/>
              </w:rPr>
              <w:t xml:space="preserve">docker compose up --build</w:t>
            </w:r>
          </w:p>
        </w:tc>
      </w:tr>
      <w:tr>
        <w:tc>
          <w:tcPr>
            <w:shd w:fill="FFFFFF" w:color="FFFFFF" w:val="solid"/>
          </w:tcPr>
          <w:p>
            <w:r>
              <w:rPr>
                <w:sz w:val="20"/>
                <w:szCs w:val="20"/>
              </w:rPr>
              <w:t xml:space="preserve">Pruebas de Rendimiento (k6)</w:t>
            </w:r>
          </w:p>
        </w:tc>
        <w:tc>
          <w:tcPr>
            <w:shd w:fill="FFFFFF" w:color="FFFFFF" w:val="solid"/>
          </w:tcPr>
          <w:p>
            <w:r>
              <w:rPr>
                <w:sz w:val="20"/>
                <w:szCs w:val="20"/>
              </w:rPr>
              <w:t xml:space="preserve">El stack Docker se levanta localmente para ejecutar las pruebas de carga contra http://localhost:3000, evitando afectar el servidor de producción.</w:t>
            </w:r>
          </w:p>
        </w:tc>
        <w:tc>
          <w:tcPr>
            <w:shd w:fill="FFFFFF" w:color="FFFFFF" w:val="solid"/>
          </w:tcPr>
          <w:p>
            <w:r>
              <w:rPr>
                <w:sz w:val="20"/>
                <w:szCs w:val="20"/>
              </w:rPr>
              <w:t xml:space="preserve">docker compose up -d &amp;&amp; k6 run script.js</w:t>
            </w:r>
          </w:p>
        </w:tc>
      </w:tr>
      <w:tr>
        <w:tc>
          <w:tcPr>
            <w:shd w:fill="d6e4f0" w:color="d6e4f0" w:val="solid"/>
          </w:tcPr>
          <w:p>
            <w:r>
              <w:rPr>
                <w:sz w:val="20"/>
                <w:szCs w:val="20"/>
              </w:rPr>
              <w:t xml:space="preserve">Pruebas de Usabilidad (Playwright)</w:t>
            </w:r>
          </w:p>
        </w:tc>
        <w:tc>
          <w:tcPr>
            <w:shd w:fill="d6e4f0" w:color="d6e4f0" w:val="solid"/>
          </w:tcPr>
          <w:p>
            <w:r>
              <w:rPr>
                <w:sz w:val="20"/>
                <w:szCs w:val="20"/>
              </w:rPr>
              <w:t xml:space="preserve">Se levanta el frontend contenerizado (puerto 5173) y Playwright apunta a http://localhost:5173 para ejecutar los flujos E2E en un entorno controlado.</w:t>
            </w:r>
          </w:p>
        </w:tc>
        <w:tc>
          <w:tcPr>
            <w:shd w:fill="d6e4f0" w:color="d6e4f0" w:val="solid"/>
          </w:tcPr>
          <w:p>
            <w:r>
              <w:rPr>
                <w:sz w:val="20"/>
                <w:szCs w:val="20"/>
              </w:rPr>
              <w:t xml:space="preserve">docker compose up -d &amp;&amp; npx playwright test</w:t>
            </w:r>
          </w:p>
        </w:tc>
      </w:tr>
      <w:tr>
        <w:tc>
          <w:tcPr>
            <w:shd w:fill="FFFFFF" w:color="FFFFFF" w:val="solid"/>
          </w:tcPr>
          <w:p>
            <w:r>
              <w:rPr>
                <w:sz w:val="20"/>
                <w:szCs w:val="20"/>
              </w:rPr>
              <w:t xml:space="preserve">Pipeline CI/CD (GitHub Actions)</w:t>
            </w:r>
          </w:p>
        </w:tc>
        <w:tc>
          <w:tcPr>
            <w:shd w:fill="FFFFFF" w:color="FFFFFF" w:val="solid"/>
          </w:tcPr>
          <w:p>
            <w:r>
              <w:rPr>
                <w:sz w:val="20"/>
                <w:szCs w:val="20"/>
              </w:rPr>
              <w:t xml:space="preserve">El workflow main-ci-cd.yml ejecuta las pruebas unitarias en el runner de GitHub. Los despliegues a producción se disparan mediante Deploy Hooks de Render.</w:t>
            </w:r>
          </w:p>
        </w:tc>
        <w:tc>
          <w:tcPr>
            <w:shd w:fill="FFFFFF" w:color="FFFFFF" w:val="solid"/>
          </w:tcPr>
          <w:p>
            <w:r>
              <w:rPr>
                <w:sz w:val="20"/>
                <w:szCs w:val="20"/>
              </w:rPr>
              <w:t xml:space="preserve">Automático en push a main</w:t>
            </w:r>
          </w:p>
        </w:tc>
      </w:tr>
    </w:tbl>
    <w:p>
      <w:pPr>
        <w:spacing w:after="200"/>
      </w:pPr>
    </w:p>
    <w:p>
      <w:pPr>
        <w:spacing w:after="80" w:before="240"/>
      </w:pPr>
      <w:r>
        <w:rPr>
          <w:b/>
          <w:bCs/>
          <w:color w:val="2e6da4"/>
          <w:sz w:val="24"/>
          <w:szCs w:val="24"/>
        </w:rPr>
        <w:t xml:space="preserve">6.4 Variables de Entorno por Servicio</w:t>
      </w:r>
    </w:p>
    <w:p>
      <w:pPr>
        <w:spacing w:after="80"/>
      </w:pPr>
      <w:r>
        <w:rPr>
          <w:sz w:val="22"/>
          <w:szCs w:val="22"/>
        </w:rPr>
        <w:t xml:space="preserve">Cada servicio requiere variables de entorno para funcionar correctamente. En el entorno de pruebas local (Docker Compose) se usan valores de ejemplo. En producción (Render), se configuran como secretos en el panel de la plataforma.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color="1e3a5f" w:val="solid"/>
          </w:tcPr>
          <w:p>
            <w:r>
              <w:rPr>
                <w:b/>
                <w:bCs/>
                <w:color w:val="FFFFFF"/>
                <w:sz w:val="20"/>
                <w:szCs w:val="20"/>
              </w:rPr>
              <w:t xml:space="preserve">Variable</w:t>
            </w:r>
          </w:p>
        </w:tc>
        <w:tc>
          <w:tcPr>
            <w:shd w:fill="1e3a5f" w:color="1e3a5f" w:val="solid"/>
          </w:tcPr>
          <w:p>
            <w:r>
              <w:rPr>
                <w:b/>
                <w:bCs/>
                <w:color w:val="FFFFFF"/>
                <w:sz w:val="20"/>
                <w:szCs w:val="20"/>
              </w:rPr>
              <w:t xml:space="preserve">Servicio</w:t>
            </w:r>
          </w:p>
        </w:tc>
        <w:tc>
          <w:tcPr>
            <w:shd w:fill="1e3a5f" w:color="1e3a5f" w:val="solid"/>
          </w:tcPr>
          <w:p>
            <w:r>
              <w:rPr>
                <w:b/>
                <w:bCs/>
                <w:color w:val="FFFFFF"/>
                <w:sz w:val="20"/>
                <w:szCs w:val="20"/>
              </w:rPr>
              <w:t xml:space="preserve">Descripción</w:t>
            </w:r>
          </w:p>
        </w:tc>
      </w:tr>
      <w:tr>
        <w:tc>
          <w:tcPr>
            <w:shd w:fill="f2f2f2" w:color="f2f2f2" w:val="solid"/>
          </w:tcPr>
          <w:p>
            <w:r>
              <w:rPr>
                <w:sz w:val="20"/>
                <w:szCs w:val="20"/>
              </w:rPr>
              <w:t xml:space="preserve">DATABASE_URL</w:t>
            </w:r>
          </w:p>
        </w:tc>
        <w:tc>
          <w:tcPr>
            <w:shd w:fill="f2f2f2" w:color="f2f2f2" w:val="solid"/>
          </w:tcPr>
          <w:p>
            <w:r>
              <w:rPr>
                <w:sz w:val="20"/>
                <w:szCs w:val="20"/>
              </w:rPr>
              <w:t xml:space="preserve">backend</w:t>
            </w:r>
          </w:p>
        </w:tc>
        <w:tc>
          <w:tcPr>
            <w:shd w:fill="f2f2f2" w:color="f2f2f2" w:val="solid"/>
          </w:tcPr>
          <w:p>
            <w:r>
              <w:rPr>
                <w:sz w:val="20"/>
                <w:szCs w:val="20"/>
              </w:rPr>
              <w:t xml:space="preserve">Cadena de conexión a PostgreSQL (interna en Docker Compose, externa en producción).</w:t>
            </w:r>
          </w:p>
        </w:tc>
      </w:tr>
      <w:tr>
        <w:tc>
          <w:tcPr>
            <w:shd w:fill="FFFFFF" w:color="FFFFFF" w:val="solid"/>
          </w:tcPr>
          <w:p>
            <w:r>
              <w:rPr>
                <w:sz w:val="20"/>
                <w:szCs w:val="20"/>
              </w:rPr>
              <w:t xml:space="preserve">DIRECT_URL</w:t>
            </w:r>
          </w:p>
        </w:tc>
        <w:tc>
          <w:tcPr>
            <w:shd w:fill="FFFFFF" w:color="FFFFFF" w:val="solid"/>
          </w:tcPr>
          <w:p>
            <w:r>
              <w:rPr>
                <w:sz w:val="20"/>
                <w:szCs w:val="20"/>
              </w:rPr>
              <w:t xml:space="preserve">backend</w:t>
            </w:r>
          </w:p>
        </w:tc>
        <w:tc>
          <w:tcPr>
            <w:shd w:fill="FFFFFF" w:color="FFFFFF" w:val="solid"/>
          </w:tcPr>
          <w:p>
            <w:r>
              <w:rPr>
                <w:sz w:val="20"/>
                <w:szCs w:val="20"/>
              </w:rPr>
              <w:t xml:space="preserve">URL directa para migraciones con Prisma (igual a DATABASE_URL en entorno local).</w:t>
            </w:r>
          </w:p>
        </w:tc>
      </w:tr>
      <w:tr>
        <w:tc>
          <w:tcPr>
            <w:shd w:fill="f2f2f2" w:color="f2f2f2" w:val="solid"/>
          </w:tcPr>
          <w:p>
            <w:r>
              <w:rPr>
                <w:sz w:val="20"/>
                <w:szCs w:val="20"/>
              </w:rPr>
              <w:t xml:space="preserve">JWT_SECRET</w:t>
            </w:r>
          </w:p>
        </w:tc>
        <w:tc>
          <w:tcPr>
            <w:shd w:fill="f2f2f2" w:color="f2f2f2" w:val="solid"/>
          </w:tcPr>
          <w:p>
            <w:r>
              <w:rPr>
                <w:sz w:val="20"/>
                <w:szCs w:val="20"/>
              </w:rPr>
              <w:t xml:space="preserve">backend</w:t>
            </w:r>
          </w:p>
        </w:tc>
        <w:tc>
          <w:tcPr>
            <w:shd w:fill="f2f2f2" w:color="f2f2f2" w:val="solid"/>
          </w:tcPr>
          <w:p>
            <w:r>
              <w:rPr>
                <w:sz w:val="20"/>
                <w:szCs w:val="20"/>
              </w:rPr>
              <w:t xml:space="preserve">Secreto para firmar los access tokens JWT.</w:t>
            </w:r>
          </w:p>
        </w:tc>
      </w:tr>
      <w:tr>
        <w:tc>
          <w:tcPr>
            <w:shd w:fill="FFFFFF" w:color="FFFFFF" w:val="solid"/>
          </w:tcPr>
          <w:p>
            <w:r>
              <w:rPr>
                <w:sz w:val="20"/>
                <w:szCs w:val="20"/>
              </w:rPr>
              <w:t xml:space="preserve">JWT_REFRESH_SECRET</w:t>
            </w:r>
          </w:p>
        </w:tc>
        <w:tc>
          <w:tcPr>
            <w:shd w:fill="FFFFFF" w:color="FFFFFF" w:val="solid"/>
          </w:tcPr>
          <w:p>
            <w:r>
              <w:rPr>
                <w:sz w:val="20"/>
                <w:szCs w:val="20"/>
              </w:rPr>
              <w:t xml:space="preserve">backend</w:t>
            </w:r>
          </w:p>
        </w:tc>
        <w:tc>
          <w:tcPr>
            <w:shd w:fill="FFFFFF" w:color="FFFFFF" w:val="solid"/>
          </w:tcPr>
          <w:p>
            <w:r>
              <w:rPr>
                <w:sz w:val="20"/>
                <w:szCs w:val="20"/>
              </w:rPr>
              <w:t xml:space="preserve">Secreto para firmar los refresh tokens de sesión prolongada.</w:t>
            </w:r>
          </w:p>
        </w:tc>
      </w:tr>
      <w:tr>
        <w:tc>
          <w:tcPr>
            <w:shd w:fill="f2f2f2" w:color="f2f2f2" w:val="solid"/>
          </w:tcPr>
          <w:p>
            <w:r>
              <w:rPr>
                <w:sz w:val="20"/>
                <w:szCs w:val="20"/>
              </w:rPr>
              <w:t xml:space="preserve">FRONTEND_URL</w:t>
            </w:r>
          </w:p>
        </w:tc>
        <w:tc>
          <w:tcPr>
            <w:shd w:fill="f2f2f2" w:color="f2f2f2" w:val="solid"/>
          </w:tcPr>
          <w:p>
            <w:r>
              <w:rPr>
                <w:sz w:val="20"/>
                <w:szCs w:val="20"/>
              </w:rPr>
              <w:t xml:space="preserve">backend</w:t>
            </w:r>
          </w:p>
        </w:tc>
        <w:tc>
          <w:tcPr>
            <w:shd w:fill="f2f2f2" w:color="f2f2f2" w:val="solid"/>
          </w:tcPr>
          <w:p>
            <w:r>
              <w:rPr>
                <w:sz w:val="20"/>
                <w:szCs w:val="20"/>
              </w:rPr>
              <w:t xml:space="preserve">URL del frontend para configurar CORS dinámicamente (en producción: dominio de Render).</w:t>
            </w:r>
          </w:p>
        </w:tc>
      </w:tr>
      <w:tr>
        <w:tc>
          <w:tcPr>
            <w:shd w:fill="FFFFFF" w:color="FFFFFF" w:val="solid"/>
          </w:tcPr>
          <w:p>
            <w:r>
              <w:rPr>
                <w:sz w:val="20"/>
                <w:szCs w:val="20"/>
              </w:rPr>
              <w:t xml:space="preserve">BACKEND_URL</w:t>
            </w:r>
          </w:p>
        </w:tc>
        <w:tc>
          <w:tcPr>
            <w:shd w:fill="FFFFFF" w:color="FFFFFF" w:val="solid"/>
          </w:tcPr>
          <w:p>
            <w:r>
              <w:rPr>
                <w:sz w:val="20"/>
                <w:szCs w:val="20"/>
              </w:rPr>
              <w:t xml:space="preserve">frontend</w:t>
            </w:r>
          </w:p>
        </w:tc>
        <w:tc>
          <w:tcPr>
            <w:shd w:fill="FFFFFF" w:color="FFFFFF" w:val="solid"/>
          </w:tcPr>
          <w:p>
            <w:r>
              <w:rPr>
                <w:sz w:val="20"/>
                <w:szCs w:val="20"/>
              </w:rPr>
              <w:t xml:space="preserve">URL del backend a la que el proxy de Vite redirige las peticiones de la API.</w:t>
            </w:r>
          </w:p>
        </w:tc>
      </w:tr>
      <w:tr>
        <w:tc>
          <w:tcPr>
            <w:shd w:fill="f2f2f2" w:color="f2f2f2" w:val="solid"/>
          </w:tcPr>
          <w:p>
            <w:r>
              <w:rPr>
                <w:sz w:val="20"/>
                <w:szCs w:val="20"/>
              </w:rPr>
              <w:t xml:space="preserve">RENDER_DATABASE_URL</w:t>
            </w:r>
          </w:p>
        </w:tc>
        <w:tc>
          <w:tcPr>
            <w:shd w:fill="f2f2f2" w:color="f2f2f2" w:val="solid"/>
          </w:tcPr>
          <w:p>
            <w:r>
              <w:rPr>
                <w:sz w:val="20"/>
                <w:szCs w:val="20"/>
              </w:rPr>
              <w:t xml:space="preserve">GitHub Actions</w:t>
            </w:r>
          </w:p>
        </w:tc>
        <w:tc>
          <w:tcPr>
            <w:shd w:fill="f2f2f2" w:color="f2f2f2" w:val="solid"/>
          </w:tcPr>
          <w:p>
            <w:r>
              <w:rPr>
                <w:sz w:val="20"/>
                <w:szCs w:val="20"/>
              </w:rPr>
              <w:t xml:space="preserve">URL externa de la BD en Render, usada por el pipeline para ejecutar npx prisma db push.</w:t>
            </w:r>
          </w:p>
        </w:tc>
      </w:tr>
      <w:tr>
        <w:tc>
          <w:tcPr>
            <w:shd w:fill="FFFFFF" w:color="FFFFFF" w:val="solid"/>
          </w:tcPr>
          <w:p>
            <w:r>
              <w:rPr>
                <w:sz w:val="20"/>
                <w:szCs w:val="20"/>
              </w:rPr>
              <w:t xml:space="preserve">RENDER_BACKEND_HOOK</w:t>
            </w:r>
          </w:p>
        </w:tc>
        <w:tc>
          <w:tcPr>
            <w:shd w:fill="FFFFFF" w:color="FFFFFF" w:val="solid"/>
          </w:tcPr>
          <w:p>
            <w:r>
              <w:rPr>
                <w:sz w:val="20"/>
                <w:szCs w:val="20"/>
              </w:rPr>
              <w:t xml:space="preserve">GitHub Actions</w:t>
            </w:r>
          </w:p>
        </w:tc>
        <w:tc>
          <w:tcPr>
            <w:shd w:fill="FFFFFF" w:color="FFFFFF" w:val="solid"/>
          </w:tcPr>
          <w:p>
            <w:r>
              <w:rPr>
                <w:sz w:val="20"/>
                <w:szCs w:val="20"/>
              </w:rPr>
              <w:t xml:space="preserve">Deploy Hook de Render para disparar el redespliegue del backend automáticamente.</w:t>
            </w:r>
          </w:p>
        </w:tc>
      </w:tr>
      <w:tr>
        <w:tc>
          <w:tcPr>
            <w:shd w:fill="f2f2f2" w:color="f2f2f2" w:val="solid"/>
          </w:tcPr>
          <w:p>
            <w:r>
              <w:rPr>
                <w:sz w:val="20"/>
                <w:szCs w:val="20"/>
              </w:rPr>
              <w:t xml:space="preserve">RENDER_FRONTEND_HOOK</w:t>
            </w:r>
          </w:p>
        </w:tc>
        <w:tc>
          <w:tcPr>
            <w:shd w:fill="f2f2f2" w:color="f2f2f2" w:val="solid"/>
          </w:tcPr>
          <w:p>
            <w:r>
              <w:rPr>
                <w:sz w:val="20"/>
                <w:szCs w:val="20"/>
              </w:rPr>
              <w:t xml:space="preserve">GitHub Actions</w:t>
            </w:r>
          </w:p>
        </w:tc>
        <w:tc>
          <w:tcPr>
            <w:shd w:fill="f2f2f2" w:color="f2f2f2" w:val="solid"/>
          </w:tcPr>
          <w:p>
            <w:r>
              <w:rPr>
                <w:sz w:val="20"/>
                <w:szCs w:val="20"/>
              </w:rPr>
              <w:t xml:space="preserve">Deploy Hook de Render para disparar el redespliegue del frontend automáticamente.</w:t>
            </w:r>
          </w:p>
        </w:tc>
      </w:tr>
    </w:tbl>
    <w:p>
      <w:pPr>
        <w:spacing w:after="240"/>
      </w:pPr>
    </w:p>
    <w:p>
      <w:pPr>
        <w:pBdr>
          <w:bottom w:val="single" w:color="d6e4f0" w:sz="4"/>
        </w:pBdr>
        <w:spacing w:after="100" w:before="100"/>
      </w:pPr>
    </w:p>
    <w:p>
      <w:pPr>
        <w:spacing w:before="200"/>
        <w:jc w:val="center"/>
      </w:pPr>
      <w:r>
        <w:rPr>
          <w:i/>
          <w:iCs/>
          <w:color w:val="888888"/>
          <w:sz w:val="20"/>
          <w:szCs w:val="20"/>
        </w:rPr>
        <w:t xml:space="preserve">Documento preparado por el Equipo 8 — Desarrollo Web Integral · UTNG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2026-08-07T23:14:57.542Z</dcterms:created>
  <dcterms:modified xsi:type="dcterms:W3CDTF">2026-08-07T23:14:57.544Z</dcterms:modified>
</cp:coreProperties>
</file>

<file path=docProps/custom.xml><?xml version="1.0" encoding="utf-8"?>
<Properties xmlns="http://schemas.openxmlformats.org/officeDocument/2006/custom-properties" xmlns:vt="http://schemas.openxmlformats.org/officeDocument/2006/docPropsVTypes"/>
</file>